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jc w:val="center"/>
        <w:rPr>
          <w:rFonts w:hint="eastAsia" w:ascii="华文中宋" w:hAnsi="华文中宋" w:eastAsia="华文中宋" w:cs="华文中宋"/>
          <w:b/>
          <w:color w:val="auto"/>
          <w:sz w:val="48"/>
          <w:szCs w:val="48"/>
        </w:rPr>
      </w:pPr>
      <w:r>
        <w:rPr>
          <w:rFonts w:hint="eastAsia" w:ascii="华文中宋" w:hAnsi="华文中宋" w:eastAsia="华文中宋" w:cs="华文中宋"/>
          <w:b/>
          <w:sz w:val="48"/>
          <w:szCs w:val="48"/>
          <w:lang w:eastAsia="zh-CN"/>
        </w:rPr>
        <w:t>蚌埠市科技培训中心</w:t>
      </w:r>
      <w:r>
        <w:rPr>
          <w:rFonts w:hint="eastAsia" w:ascii="华文中宋" w:hAnsi="华文中宋" w:eastAsia="华文中宋" w:cs="华文中宋"/>
          <w:b/>
          <w:sz w:val="48"/>
          <w:szCs w:val="48"/>
        </w:rPr>
        <w:t>2020年</w:t>
      </w:r>
      <w:r>
        <w:rPr>
          <w:rFonts w:hint="eastAsia" w:ascii="华文中宋" w:hAnsi="华文中宋" w:eastAsia="华文中宋" w:cs="华文中宋"/>
          <w:b/>
          <w:color w:val="auto"/>
          <w:sz w:val="48"/>
          <w:szCs w:val="48"/>
        </w:rPr>
        <w:t>度</w:t>
      </w:r>
    </w:p>
    <w:p>
      <w:pPr>
        <w:adjustRightInd w:val="0"/>
        <w:snapToGrid w:val="0"/>
        <w:spacing w:line="360" w:lineRule="auto"/>
        <w:jc w:val="center"/>
        <w:rPr>
          <w:rFonts w:hint="eastAsia" w:ascii="华文中宋" w:hAnsi="华文中宋" w:eastAsia="华文中宋" w:cs="华文中宋"/>
          <w:b/>
          <w:sz w:val="48"/>
          <w:szCs w:val="48"/>
        </w:rPr>
      </w:pPr>
      <w:r>
        <w:rPr>
          <w:rFonts w:hint="eastAsia" w:ascii="华文中宋" w:hAnsi="华文中宋" w:eastAsia="华文中宋" w:cs="华文中宋"/>
          <w:b/>
          <w:color w:val="auto"/>
          <w:sz w:val="48"/>
          <w:szCs w:val="48"/>
          <w:lang w:eastAsia="zh-CN"/>
        </w:rPr>
        <w:t>单位</w:t>
      </w:r>
      <w:r>
        <w:rPr>
          <w:rFonts w:hint="eastAsia" w:ascii="华文中宋" w:hAnsi="华文中宋" w:eastAsia="华文中宋" w:cs="华文中宋"/>
          <w:b/>
          <w:sz w:val="48"/>
          <w:szCs w:val="48"/>
        </w:rPr>
        <w:t>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9</w:t>
      </w:r>
      <w:r>
        <w:rPr>
          <w:rFonts w:hint="eastAsia" w:ascii="黑体" w:hAnsi="黑体" w:eastAsia="黑体"/>
          <w:bCs/>
          <w:sz w:val="44"/>
          <w:szCs w:val="44"/>
        </w:rPr>
        <w:t>月</w:t>
      </w:r>
    </w:p>
    <w:p>
      <w:pPr>
        <w:spacing w:line="580" w:lineRule="exact"/>
        <w:jc w:val="center"/>
        <w:rPr>
          <w:rFonts w:hint="eastAsia" w:ascii="黑体" w:hAnsi="宋体" w:eastAsia="黑体"/>
          <w:bCs/>
          <w:sz w:val="44"/>
          <w:szCs w:val="44"/>
        </w:rPr>
      </w:pPr>
      <w:r>
        <w:rPr>
          <w:rFonts w:hint="eastAsia" w:ascii="黑体" w:hAnsi="宋体" w:eastAsia="黑体"/>
          <w:bCs/>
          <w:sz w:val="44"/>
          <w:szCs w:val="44"/>
        </w:rPr>
        <w:t>目  录</w:t>
      </w:r>
    </w:p>
    <w:p>
      <w:pPr>
        <w:spacing w:line="550" w:lineRule="exact"/>
        <w:rPr>
          <w:rFonts w:hint="eastAsia" w:ascii="宋体" w:hAnsi="宋体"/>
          <w:b/>
          <w:sz w:val="32"/>
          <w:szCs w:val="32"/>
        </w:rPr>
      </w:pPr>
      <w:r>
        <w:rPr>
          <w:rFonts w:hint="eastAsia" w:ascii="宋体" w:hAnsi="宋体"/>
          <w:b/>
          <w:sz w:val="32"/>
          <w:szCs w:val="32"/>
        </w:rPr>
        <w:t>第一部分 单位概况</w:t>
      </w:r>
    </w:p>
    <w:p>
      <w:pPr>
        <w:spacing w:line="550" w:lineRule="exact"/>
        <w:rPr>
          <w:rFonts w:hint="eastAsia" w:ascii="宋体" w:hAnsi="宋体"/>
          <w:bCs/>
          <w:sz w:val="32"/>
          <w:szCs w:val="32"/>
        </w:rPr>
      </w:pPr>
      <w:r>
        <w:rPr>
          <w:rFonts w:hint="eastAsia" w:ascii="宋体" w:hAnsi="宋体"/>
          <w:bCs/>
          <w:sz w:val="32"/>
          <w:szCs w:val="32"/>
        </w:rPr>
        <w:t>一、主要职责</w:t>
      </w:r>
    </w:p>
    <w:p>
      <w:pPr>
        <w:spacing w:line="550" w:lineRule="exact"/>
        <w:rPr>
          <w:rFonts w:hint="eastAsia" w:ascii="宋体" w:hAnsi="宋体"/>
          <w:bCs/>
          <w:sz w:val="32"/>
          <w:szCs w:val="32"/>
        </w:rPr>
      </w:pPr>
      <w:r>
        <w:rPr>
          <w:rFonts w:hint="eastAsia" w:ascii="宋体" w:hAnsi="宋体"/>
          <w:bCs/>
          <w:sz w:val="32"/>
          <w:szCs w:val="32"/>
        </w:rPr>
        <w:t>二、单位决算构成</w:t>
      </w:r>
    </w:p>
    <w:p>
      <w:pPr>
        <w:spacing w:line="550" w:lineRule="exact"/>
        <w:rPr>
          <w:rFonts w:hint="eastAsia" w:ascii="宋体" w:hAnsi="宋体"/>
          <w:b/>
          <w:sz w:val="32"/>
          <w:szCs w:val="32"/>
        </w:rPr>
      </w:pPr>
      <w:r>
        <w:rPr>
          <w:rFonts w:hint="eastAsia" w:ascii="宋体" w:hAnsi="宋体"/>
          <w:b/>
          <w:sz w:val="32"/>
          <w:szCs w:val="32"/>
        </w:rPr>
        <w:t>第二部分 2020年度单位决算表</w:t>
      </w:r>
    </w:p>
    <w:p>
      <w:pPr>
        <w:spacing w:line="550" w:lineRule="exact"/>
        <w:rPr>
          <w:rFonts w:hint="eastAsia" w:ascii="宋体" w:hAnsi="宋体"/>
          <w:bCs/>
          <w:sz w:val="32"/>
          <w:szCs w:val="32"/>
        </w:rPr>
      </w:pPr>
      <w:r>
        <w:rPr>
          <w:rFonts w:hint="eastAsia" w:ascii="宋体" w:hAnsi="宋体"/>
          <w:bCs/>
          <w:sz w:val="32"/>
          <w:szCs w:val="32"/>
        </w:rPr>
        <w:t>一、收入支出决算总表</w:t>
      </w:r>
    </w:p>
    <w:p>
      <w:pPr>
        <w:spacing w:line="550" w:lineRule="exact"/>
        <w:rPr>
          <w:rFonts w:hint="eastAsia" w:ascii="宋体" w:hAnsi="宋体"/>
          <w:bCs/>
          <w:sz w:val="32"/>
          <w:szCs w:val="32"/>
        </w:rPr>
      </w:pPr>
      <w:r>
        <w:rPr>
          <w:rFonts w:hint="eastAsia" w:ascii="宋体" w:hAnsi="宋体"/>
          <w:bCs/>
          <w:sz w:val="32"/>
          <w:szCs w:val="32"/>
        </w:rPr>
        <w:t>二、收入决算表</w:t>
      </w:r>
    </w:p>
    <w:p>
      <w:pPr>
        <w:spacing w:line="550" w:lineRule="exact"/>
        <w:rPr>
          <w:rFonts w:hint="eastAsia" w:ascii="宋体" w:hAnsi="宋体"/>
          <w:bCs/>
          <w:sz w:val="32"/>
          <w:szCs w:val="32"/>
        </w:rPr>
      </w:pPr>
      <w:r>
        <w:rPr>
          <w:rFonts w:hint="eastAsia" w:ascii="宋体" w:hAnsi="宋体"/>
          <w:bCs/>
          <w:sz w:val="32"/>
          <w:szCs w:val="32"/>
        </w:rPr>
        <w:t>三、支出决算表</w:t>
      </w:r>
    </w:p>
    <w:p>
      <w:pPr>
        <w:spacing w:line="550" w:lineRule="exact"/>
        <w:rPr>
          <w:rFonts w:hint="eastAsia" w:ascii="宋体" w:hAnsi="宋体"/>
          <w:bCs/>
          <w:sz w:val="32"/>
          <w:szCs w:val="32"/>
        </w:rPr>
      </w:pPr>
      <w:r>
        <w:rPr>
          <w:rFonts w:hint="eastAsia" w:ascii="宋体" w:hAnsi="宋体"/>
          <w:bCs/>
          <w:sz w:val="32"/>
          <w:szCs w:val="32"/>
        </w:rPr>
        <w:t>四、财政拨款收入支出决算总表</w:t>
      </w:r>
    </w:p>
    <w:p>
      <w:pPr>
        <w:spacing w:line="550" w:lineRule="exact"/>
        <w:rPr>
          <w:rFonts w:hint="eastAsia" w:ascii="宋体" w:hAnsi="宋体"/>
          <w:bCs/>
          <w:sz w:val="32"/>
          <w:szCs w:val="32"/>
        </w:rPr>
      </w:pPr>
      <w:r>
        <w:rPr>
          <w:rFonts w:hint="eastAsia" w:ascii="宋体" w:hAnsi="宋体"/>
          <w:bCs/>
          <w:sz w:val="32"/>
          <w:szCs w:val="32"/>
        </w:rPr>
        <w:t>五、一般公共预算财政拨款支出决算表</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六、一般公共预算财政拨款基本支出决算表</w:t>
      </w:r>
    </w:p>
    <w:p>
      <w:pPr>
        <w:spacing w:line="550" w:lineRule="exact"/>
        <w:rPr>
          <w:rFonts w:hint="eastAsia" w:ascii="宋体" w:hAnsi="宋体"/>
          <w:bCs/>
          <w:sz w:val="32"/>
          <w:szCs w:val="32"/>
        </w:rPr>
      </w:pPr>
      <w:r>
        <w:rPr>
          <w:rFonts w:hint="eastAsia" w:ascii="宋体" w:hAnsi="宋体"/>
          <w:bCs/>
          <w:sz w:val="32"/>
          <w:szCs w:val="32"/>
        </w:rPr>
        <w:t>七、政府性基金预算财政拨款收入支出决算表</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八、国有资本经营预算财政拨款支出决算表</w:t>
      </w:r>
    </w:p>
    <w:p>
      <w:pPr>
        <w:spacing w:line="550" w:lineRule="exact"/>
        <w:rPr>
          <w:rFonts w:hint="eastAsia" w:ascii="宋体" w:hAnsi="宋体"/>
          <w:b/>
          <w:sz w:val="32"/>
          <w:szCs w:val="32"/>
        </w:rPr>
      </w:pPr>
      <w:r>
        <w:rPr>
          <w:rFonts w:hint="eastAsia" w:ascii="宋体" w:hAnsi="宋体"/>
          <w:b/>
          <w:sz w:val="32"/>
          <w:szCs w:val="32"/>
        </w:rPr>
        <w:t>第三部分 2020年度单位决算情况说明</w:t>
      </w:r>
    </w:p>
    <w:p>
      <w:pPr>
        <w:spacing w:line="550" w:lineRule="exact"/>
        <w:rPr>
          <w:rFonts w:hint="eastAsia" w:ascii="宋体" w:hAnsi="宋体"/>
          <w:bCs/>
          <w:sz w:val="32"/>
          <w:szCs w:val="32"/>
        </w:rPr>
      </w:pPr>
      <w:r>
        <w:rPr>
          <w:rFonts w:hint="eastAsia" w:ascii="宋体" w:hAnsi="宋体"/>
          <w:bCs/>
          <w:sz w:val="32"/>
          <w:szCs w:val="32"/>
        </w:rPr>
        <w:t>一、收入支出决算总体情况</w:t>
      </w:r>
      <w:r>
        <w:rPr>
          <w:rFonts w:hint="eastAsia" w:ascii="宋体" w:hAnsi="宋体"/>
          <w:bCs/>
          <w:color w:val="auto"/>
          <w:sz w:val="32"/>
          <w:szCs w:val="32"/>
        </w:rPr>
        <w:t>说明</w:t>
      </w:r>
    </w:p>
    <w:p>
      <w:pPr>
        <w:spacing w:line="550" w:lineRule="exact"/>
        <w:rPr>
          <w:rFonts w:hint="eastAsia" w:ascii="宋体" w:hAnsi="宋体"/>
          <w:bCs/>
          <w:sz w:val="32"/>
          <w:szCs w:val="32"/>
        </w:rPr>
      </w:pPr>
      <w:r>
        <w:rPr>
          <w:rFonts w:hint="eastAsia" w:ascii="宋体" w:hAnsi="宋体"/>
          <w:bCs/>
          <w:sz w:val="32"/>
          <w:szCs w:val="32"/>
        </w:rPr>
        <w:t>二、收入决算情况说明</w:t>
      </w:r>
    </w:p>
    <w:p>
      <w:pPr>
        <w:spacing w:line="550" w:lineRule="exact"/>
        <w:rPr>
          <w:rFonts w:hint="eastAsia" w:ascii="宋体" w:hAnsi="宋体"/>
          <w:bCs/>
          <w:sz w:val="32"/>
          <w:szCs w:val="32"/>
        </w:rPr>
      </w:pPr>
      <w:r>
        <w:rPr>
          <w:rFonts w:hint="eastAsia" w:ascii="宋体" w:hAnsi="宋体"/>
          <w:bCs/>
          <w:sz w:val="32"/>
          <w:szCs w:val="32"/>
        </w:rPr>
        <w:t>三、支出决算情况说明</w:t>
      </w:r>
    </w:p>
    <w:p>
      <w:pPr>
        <w:spacing w:line="550" w:lineRule="exact"/>
        <w:rPr>
          <w:rFonts w:hint="eastAsia" w:ascii="宋体" w:hAnsi="宋体"/>
          <w:bCs/>
          <w:sz w:val="32"/>
          <w:szCs w:val="32"/>
        </w:rPr>
      </w:pPr>
      <w:r>
        <w:rPr>
          <w:rFonts w:hint="eastAsia" w:ascii="宋体" w:hAnsi="宋体"/>
          <w:bCs/>
          <w:sz w:val="32"/>
          <w:szCs w:val="32"/>
        </w:rPr>
        <w:t>四、财政拨款收入支出决算总体情况说明</w:t>
      </w:r>
    </w:p>
    <w:p>
      <w:pPr>
        <w:spacing w:line="550" w:lineRule="exact"/>
        <w:rPr>
          <w:rFonts w:hint="eastAsia" w:ascii="宋体" w:hAnsi="宋体"/>
          <w:bCs/>
          <w:sz w:val="32"/>
          <w:szCs w:val="32"/>
        </w:rPr>
      </w:pPr>
      <w:r>
        <w:rPr>
          <w:rFonts w:hint="eastAsia" w:ascii="宋体" w:hAnsi="宋体"/>
          <w:bCs/>
          <w:sz w:val="32"/>
          <w:szCs w:val="32"/>
        </w:rPr>
        <w:t>五、一般公共预算财政拨款支出决算情况说明</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六、一般公共预算财政拨款基本支出决算情况说明</w:t>
      </w:r>
    </w:p>
    <w:p>
      <w:pPr>
        <w:spacing w:line="550" w:lineRule="exact"/>
        <w:rPr>
          <w:rFonts w:hint="eastAsia" w:ascii="宋体" w:hAnsi="宋体"/>
          <w:bCs/>
          <w:sz w:val="32"/>
          <w:szCs w:val="32"/>
        </w:rPr>
      </w:pPr>
      <w:r>
        <w:rPr>
          <w:rFonts w:hint="eastAsia" w:ascii="宋体" w:hAnsi="宋体"/>
          <w:bCs/>
          <w:sz w:val="32"/>
          <w:szCs w:val="32"/>
        </w:rPr>
        <w:t>七、政府性基金财政拨款收入支出决算情况说明</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八、国有资本经营预算财政拨款支出决算情况说明</w:t>
      </w:r>
    </w:p>
    <w:p>
      <w:pPr>
        <w:spacing w:line="550" w:lineRule="exact"/>
        <w:rPr>
          <w:rFonts w:hint="eastAsia" w:ascii="宋体" w:hAnsi="宋体"/>
          <w:bCs/>
          <w:sz w:val="32"/>
          <w:szCs w:val="32"/>
        </w:rPr>
      </w:pPr>
      <w:r>
        <w:rPr>
          <w:rFonts w:hint="eastAsia" w:ascii="宋体" w:hAnsi="宋体"/>
          <w:bCs/>
          <w:sz w:val="32"/>
          <w:szCs w:val="32"/>
        </w:rPr>
        <w:t>九、其他重要事项情况说明</w:t>
      </w:r>
    </w:p>
    <w:p>
      <w:pPr>
        <w:spacing w:line="550" w:lineRule="exact"/>
        <w:rPr>
          <w:rFonts w:hint="eastAsia" w:ascii="宋体" w:hAnsi="宋体"/>
          <w:b/>
          <w:sz w:val="32"/>
          <w:szCs w:val="32"/>
        </w:rPr>
      </w:pPr>
      <w:r>
        <w:rPr>
          <w:rFonts w:hint="eastAsia" w:ascii="宋体" w:hAnsi="宋体"/>
          <w:b/>
          <w:sz w:val="32"/>
          <w:szCs w:val="32"/>
        </w:rPr>
        <w:t>第四部分  名词解释</w:t>
      </w:r>
    </w:p>
    <w:p>
      <w:pPr>
        <w:spacing w:line="550" w:lineRule="exact"/>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eastAsia="zh-CN"/>
        </w:rPr>
        <w:t>五</w:t>
      </w:r>
      <w:r>
        <w:rPr>
          <w:rFonts w:hint="eastAsia" w:ascii="宋体" w:hAnsi="宋体"/>
          <w:b/>
          <w:sz w:val="32"/>
          <w:szCs w:val="32"/>
        </w:rPr>
        <w:t xml:space="preserve">部分 </w:t>
      </w:r>
      <w:r>
        <w:rPr>
          <w:rFonts w:hint="eastAsia" w:ascii="宋体" w:hAnsi="宋体"/>
          <w:b/>
          <w:sz w:val="32"/>
          <w:szCs w:val="32"/>
          <w:lang w:val="en-US" w:eastAsia="zh-CN"/>
        </w:rPr>
        <w:t xml:space="preserve"> </w:t>
      </w:r>
      <w:r>
        <w:rPr>
          <w:rFonts w:hint="eastAsia" w:ascii="宋体" w:hAnsi="宋体"/>
          <w:b/>
          <w:sz w:val="32"/>
          <w:szCs w:val="32"/>
          <w:lang w:eastAsia="zh-CN"/>
        </w:rPr>
        <w:t>附件</w:t>
      </w:r>
    </w:p>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lang w:eastAsia="zh-CN"/>
        </w:rPr>
        <w:t>蚌埠市科技培训中心</w:t>
      </w:r>
      <w:r>
        <w:rPr>
          <w:rFonts w:ascii="宋体" w:hAnsi="宋体"/>
          <w:b/>
          <w:sz w:val="36"/>
          <w:szCs w:val="36"/>
        </w:rPr>
        <w:t>2020年</w:t>
      </w:r>
      <w:r>
        <w:rPr>
          <w:rFonts w:hint="eastAsia" w:ascii="宋体" w:hAnsi="宋体"/>
          <w:b/>
          <w:color w:val="auto"/>
          <w:sz w:val="36"/>
          <w:szCs w:val="36"/>
        </w:rPr>
        <w:t>度</w:t>
      </w:r>
      <w:r>
        <w:rPr>
          <w:rFonts w:hint="eastAsia" w:ascii="宋体" w:hAnsi="宋体"/>
          <w:b/>
          <w:sz w:val="36"/>
          <w:szCs w:val="36"/>
          <w:lang w:eastAsia="zh-CN"/>
        </w:rPr>
        <w:t>单位</w:t>
      </w:r>
      <w:r>
        <w:rPr>
          <w:rFonts w:hint="eastAsia" w:ascii="宋体" w:hAnsi="宋体"/>
          <w:b/>
          <w:sz w:val="36"/>
          <w:szCs w:val="36"/>
        </w:rPr>
        <w:t>决算</w:t>
      </w:r>
      <w:r>
        <w:rPr>
          <w:rFonts w:ascii="宋体" w:hAnsi="宋体"/>
          <w:b/>
          <w:sz w:val="36"/>
          <w:szCs w:val="36"/>
        </w:rPr>
        <w:t>情况</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 xml:space="preserve">第一部分 </w:t>
      </w:r>
      <w:r>
        <w:rPr>
          <w:rFonts w:hint="eastAsia" w:ascii="黑体" w:hAnsi="黑体" w:eastAsia="黑体"/>
          <w:szCs w:val="32"/>
          <w:lang w:eastAsia="zh-CN"/>
        </w:rPr>
        <w:t>单位</w:t>
      </w:r>
      <w:r>
        <w:rPr>
          <w:rFonts w:hint="eastAsia" w:ascii="黑体" w:hAnsi="黑体" w:eastAsia="黑体"/>
          <w:szCs w:val="32"/>
        </w:rPr>
        <w:t>概况</w:t>
      </w:r>
    </w:p>
    <w:p>
      <w:pPr>
        <w:ind w:firstLine="640" w:firstLineChars="200"/>
        <w:rPr>
          <w:rFonts w:hint="eastAsia" w:ascii="黑体" w:hAnsi="黑体" w:eastAsia="黑体"/>
          <w:szCs w:val="32"/>
        </w:rPr>
      </w:pPr>
      <w:r>
        <w:rPr>
          <w:rFonts w:hint="eastAsia" w:ascii="黑体" w:hAnsi="黑体" w:eastAsia="黑体"/>
          <w:szCs w:val="32"/>
        </w:rPr>
        <w:t>一、主要职责</w:t>
      </w:r>
    </w:p>
    <w:p>
      <w:pPr>
        <w:spacing w:line="560" w:lineRule="exact"/>
        <w:ind w:firstLine="640" w:firstLineChars="200"/>
        <w:jc w:val="left"/>
        <w:rPr>
          <w:rFonts w:hint="eastAsia"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（一）配合科协等有关部门，加强对青少年科技知识、科学精神和创新素质的教育；</w:t>
      </w:r>
    </w:p>
    <w:p>
      <w:pPr>
        <w:spacing w:line="560" w:lineRule="exact"/>
        <w:ind w:firstLine="640" w:firstLineChars="200"/>
        <w:jc w:val="left"/>
        <w:rPr>
          <w:rFonts w:hint="eastAsia" w:ascii="Arial" w:hAnsi="Arial"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（二）有计划地组织青少年开展科技培训、科学实验、科技创新等活动；积极启发和调动青少年学科学、爱科学、用科学的积极性。</w:t>
      </w:r>
    </w:p>
    <w:p>
      <w:pPr>
        <w:pStyle w:val="2"/>
        <w:adjustRightInd w:val="0"/>
        <w:snapToGrid w:val="0"/>
        <w:spacing w:before="0" w:beforeAutospacing="0" w:after="0" w:afterAutospacing="0" w:line="360" w:lineRule="auto"/>
        <w:ind w:firstLine="640" w:firstLineChars="200"/>
        <w:jc w:val="both"/>
        <w:rPr>
          <w:rFonts w:hint="eastAsia" w:ascii="黑体" w:hAnsi="黑体" w:eastAsia="仿宋_GB2312"/>
          <w:szCs w:val="32"/>
          <w:lang w:eastAsia="zh-CN"/>
        </w:rPr>
      </w:pPr>
      <w:r>
        <w:rPr>
          <w:rFonts w:hint="eastAsia" w:ascii="仿宋_GB2312" w:hAnsi="Arial" w:eastAsia="仿宋_GB2312" w:cs="Arial"/>
          <w:color w:val="333333"/>
          <w:sz w:val="32"/>
          <w:szCs w:val="32"/>
          <w:shd w:val="clear" w:color="auto" w:fill="FFFFFF"/>
        </w:rPr>
        <w:t>（三）收集科教育信息，提高科教的质量，组织开展科协科普宣传活动</w:t>
      </w:r>
      <w:r>
        <w:rPr>
          <w:rFonts w:hint="eastAsia" w:ascii="仿宋_GB2312" w:hAnsi="Arial" w:eastAsia="仿宋_GB2312" w:cs="Arial"/>
          <w:color w:val="333333"/>
          <w:sz w:val="32"/>
          <w:szCs w:val="32"/>
          <w:shd w:val="clear" w:color="auto" w:fill="FFFFFF"/>
          <w:lang w:eastAsia="zh-CN"/>
        </w:rPr>
        <w:t>。</w:t>
      </w:r>
    </w:p>
    <w:p>
      <w:pPr>
        <w:ind w:firstLine="640" w:firstLineChars="200"/>
        <w:rPr>
          <w:rFonts w:hint="eastAsia" w:ascii="黑体" w:hAnsi="黑体" w:eastAsia="黑体"/>
          <w:szCs w:val="32"/>
        </w:rPr>
      </w:pPr>
      <w:r>
        <w:rPr>
          <w:rFonts w:hint="eastAsia" w:ascii="黑体" w:hAnsi="黑体" w:eastAsia="黑体"/>
          <w:szCs w:val="32"/>
        </w:rPr>
        <w:t>二、单位决算构成</w:t>
      </w:r>
    </w:p>
    <w:p>
      <w:pPr>
        <w:ind w:firstLine="640" w:firstLineChars="200"/>
        <w:jc w:val="left"/>
        <w:rPr>
          <w:rFonts w:hint="eastAsia" w:ascii="仿宋_GB2312" w:eastAsia="仿宋_GB2312"/>
          <w:sz w:val="32"/>
          <w:szCs w:val="32"/>
        </w:rPr>
      </w:pPr>
      <w:r>
        <w:rPr>
          <w:rFonts w:hint="eastAsia" w:ascii="仿宋_GB2312" w:eastAsia="仿宋_GB2312"/>
          <w:sz w:val="32"/>
          <w:szCs w:val="32"/>
        </w:rPr>
        <w:t>蚌埠市科技培训中心为蚌埠市</w:t>
      </w:r>
      <w:r>
        <w:rPr>
          <w:rFonts w:hint="eastAsia" w:ascii="仿宋_GB2312"/>
          <w:sz w:val="32"/>
          <w:szCs w:val="32"/>
          <w:lang w:eastAsia="zh-CN"/>
        </w:rPr>
        <w:t>科学技术协会</w:t>
      </w:r>
      <w:r>
        <w:rPr>
          <w:rFonts w:hint="eastAsia" w:ascii="仿宋_GB2312" w:eastAsia="仿宋_GB2312"/>
          <w:sz w:val="32"/>
          <w:szCs w:val="32"/>
        </w:rPr>
        <w:t>下属二级预算单位，属于公益二类事业单位，无下设其他单位。</w:t>
      </w:r>
    </w:p>
    <w:p>
      <w:pPr>
        <w:ind w:firstLine="640" w:firstLineChars="200"/>
        <w:rPr>
          <w:rFonts w:hint="eastAsia" w:ascii="仿宋_GB2312" w:hAnsi="仿宋"/>
          <w:color w:val="auto"/>
          <w:szCs w:val="32"/>
        </w:rPr>
      </w:pPr>
      <w:r>
        <w:rPr>
          <w:rFonts w:hint="eastAsia" w:ascii="仿宋_GB2312" w:hAnsi="仿宋"/>
          <w:color w:val="auto"/>
          <w:szCs w:val="32"/>
        </w:rPr>
        <w:t>纳入</w:t>
      </w:r>
      <w:r>
        <w:rPr>
          <w:rFonts w:hint="eastAsia" w:ascii="仿宋_GB2312" w:hAnsi="仿宋"/>
          <w:color w:val="auto"/>
          <w:szCs w:val="32"/>
          <w:lang w:eastAsia="zh-CN"/>
        </w:rPr>
        <w:t>蚌埠市科技培训中心</w:t>
      </w:r>
      <w:r>
        <w:rPr>
          <w:rFonts w:hint="eastAsia" w:ascii="仿宋_GB2312" w:hAnsi="仿宋"/>
          <w:color w:val="auto"/>
          <w:szCs w:val="32"/>
        </w:rPr>
        <w:t>2020年度决算编制范围的单位共</w:t>
      </w:r>
      <w:r>
        <w:rPr>
          <w:rFonts w:hint="eastAsia" w:ascii="仿宋_GB2312" w:hAnsi="仿宋"/>
          <w:color w:val="auto"/>
          <w:szCs w:val="32"/>
          <w:lang w:val="en-US" w:eastAsia="zh-CN"/>
        </w:rPr>
        <w:t>1</w:t>
      </w:r>
      <w:r>
        <w:rPr>
          <w:rFonts w:hint="eastAsia" w:ascii="仿宋_GB2312" w:hAnsi="仿宋"/>
          <w:color w:val="auto"/>
          <w:szCs w:val="32"/>
        </w:rPr>
        <w:t>个，详细情况见下表：</w:t>
      </w:r>
    </w:p>
    <w:tbl>
      <w:tblPr>
        <w:tblStyle w:val="3"/>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eastAsia="仿宋_GB2312"/>
                <w:sz w:val="24"/>
                <w:lang w:val="en-US" w:eastAsia="zh-CN"/>
              </w:rPr>
            </w:pPr>
            <w:r>
              <w:rPr>
                <w:rFonts w:hint="eastAsia" w:ascii="宋体" w:hAnsi="宋体"/>
                <w:sz w:val="24"/>
                <w:lang w:eastAsia="zh-CN"/>
              </w:rPr>
              <w:t>蚌埠市科技培训中心</w:t>
            </w:r>
          </w:p>
        </w:tc>
      </w:tr>
    </w:tbl>
    <w:p>
      <w:pPr>
        <w:ind w:firstLine="640" w:firstLineChars="200"/>
        <w:rPr>
          <w:rFonts w:hint="eastAsia" w:ascii="仿宋_GB2312" w:hAnsi="黑体"/>
          <w:szCs w:val="32"/>
        </w:rPr>
      </w:pPr>
    </w:p>
    <w:p>
      <w:pPr>
        <w:ind w:firstLine="640" w:firstLineChars="200"/>
        <w:rPr>
          <w:rFonts w:hint="eastAsia" w:ascii="仿宋_GB2312" w:hAnsi="黑体"/>
          <w:szCs w:val="32"/>
        </w:rPr>
      </w:pPr>
    </w:p>
    <w:p>
      <w:pPr>
        <w:numPr>
          <w:ilvl w:val="0"/>
          <w:numId w:val="1"/>
        </w:numPr>
        <w:ind w:firstLine="640" w:firstLineChars="200"/>
        <w:rPr>
          <w:rFonts w:hint="eastAsia" w:ascii="黑体" w:hAnsi="黑体" w:eastAsia="黑体"/>
          <w:szCs w:val="32"/>
        </w:rPr>
      </w:pPr>
      <w:r>
        <w:rPr>
          <w:rFonts w:hint="eastAsia" w:ascii="黑体" w:hAnsi="黑体" w:eastAsia="黑体"/>
          <w:szCs w:val="32"/>
        </w:rPr>
        <w:t>2020年</w:t>
      </w:r>
      <w:r>
        <w:rPr>
          <w:rFonts w:hint="eastAsia" w:ascii="黑体" w:hAnsi="黑体" w:eastAsia="黑体"/>
          <w:color w:val="auto"/>
          <w:szCs w:val="32"/>
        </w:rPr>
        <w:t>度</w:t>
      </w:r>
      <w:r>
        <w:rPr>
          <w:rFonts w:hint="eastAsia" w:ascii="黑体" w:hAnsi="黑体" w:eastAsia="黑体"/>
          <w:szCs w:val="32"/>
        </w:rPr>
        <w:t>单位决算表</w:t>
      </w:r>
    </w:p>
    <w:p>
      <w:pPr>
        <w:ind w:firstLine="640" w:firstLineChars="200"/>
        <w:rPr>
          <w:rFonts w:hint="default" w:ascii="仿宋_GB2312" w:hAnsi="仿宋" w:cs="Times New Roman"/>
          <w:color w:val="auto"/>
          <w:szCs w:val="32"/>
          <w:lang w:val="en-US" w:eastAsia="zh-CN"/>
        </w:rPr>
      </w:pPr>
      <w:r>
        <w:rPr>
          <w:rFonts w:hint="eastAsia" w:ascii="仿宋_GB2312" w:hAnsi="仿宋" w:cs="Times New Roman"/>
          <w:color w:val="auto"/>
          <w:szCs w:val="32"/>
          <w:lang w:val="en-US" w:eastAsia="zh-CN"/>
        </w:rPr>
        <w:t>蚌埠市科技培训中心2020年度单位决算报表由以下表格构成，具体表格内容见附件。</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1.</w:t>
      </w:r>
      <w:r>
        <w:rPr>
          <w:rFonts w:hint="eastAsia" w:ascii="仿宋_GB2312" w:hAnsi="仿宋" w:cs="Times New Roman"/>
          <w:color w:val="auto"/>
          <w:szCs w:val="32"/>
          <w:lang w:eastAsia="zh-CN"/>
        </w:rPr>
        <w:t>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2.</w:t>
      </w:r>
      <w:r>
        <w:rPr>
          <w:rFonts w:hint="eastAsia" w:ascii="仿宋_GB2312" w:hAnsi="仿宋" w:cs="Times New Roman"/>
          <w:color w:val="auto"/>
          <w:szCs w:val="32"/>
          <w:lang w:eastAsia="zh-CN"/>
        </w:rPr>
        <w:t>收入决算表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3.</w:t>
      </w:r>
      <w:r>
        <w:rPr>
          <w:rFonts w:hint="eastAsia" w:ascii="仿宋_GB2312" w:hAnsi="仿宋" w:cs="Times New Roman"/>
          <w:color w:val="auto"/>
          <w:szCs w:val="32"/>
          <w:lang w:eastAsia="zh-CN"/>
        </w:rPr>
        <w:t>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4.</w:t>
      </w:r>
      <w:r>
        <w:rPr>
          <w:rFonts w:hint="eastAsia" w:ascii="仿宋_GB2312" w:hAnsi="仿宋" w:cs="Times New Roman"/>
          <w:color w:val="auto"/>
          <w:szCs w:val="32"/>
          <w:lang w:eastAsia="zh-CN"/>
        </w:rPr>
        <w:t>财政拨款收入支出决算总表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5.</w:t>
      </w:r>
      <w:r>
        <w:rPr>
          <w:rFonts w:hint="eastAsia" w:ascii="仿宋_GB2312" w:hAnsi="仿宋" w:cs="Times New Roman"/>
          <w:color w:val="auto"/>
          <w:szCs w:val="32"/>
          <w:lang w:eastAsia="zh-CN"/>
        </w:rPr>
        <w:t>一般公共预算财政拨款支出决算表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6.</w:t>
      </w:r>
      <w:r>
        <w:rPr>
          <w:rFonts w:hint="eastAsia" w:ascii="仿宋_GB2312" w:hAnsi="仿宋" w:cs="Times New Roman"/>
          <w:color w:val="auto"/>
          <w:szCs w:val="32"/>
          <w:lang w:eastAsia="zh-CN"/>
        </w:rPr>
        <w:t>一般公共预算财政拨款基本支出决算表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7.</w:t>
      </w:r>
      <w:r>
        <w:rPr>
          <w:rFonts w:hint="eastAsia" w:ascii="仿宋_GB2312" w:hAnsi="仿宋" w:cs="Times New Roman"/>
          <w:color w:val="auto"/>
          <w:szCs w:val="32"/>
          <w:lang w:eastAsia="zh-CN"/>
        </w:rPr>
        <w:t>政府性基金预算财政拨款收入支出决算表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8.</w:t>
      </w:r>
      <w:r>
        <w:rPr>
          <w:rFonts w:hint="eastAsia" w:ascii="仿宋_GB2312" w:hAnsi="仿宋" w:cs="Times New Roman"/>
          <w:color w:val="auto"/>
          <w:szCs w:val="32"/>
          <w:lang w:eastAsia="zh-CN"/>
        </w:rPr>
        <w:t>国有资本经营预算财政拨款支出决算表</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第三部分 2020年度</w:t>
      </w:r>
      <w:r>
        <w:rPr>
          <w:rFonts w:hint="eastAsia" w:ascii="黑体" w:hAnsi="黑体" w:eastAsia="黑体"/>
          <w:szCs w:val="32"/>
          <w:lang w:eastAsia="zh-CN"/>
        </w:rPr>
        <w:t>单位</w:t>
      </w:r>
      <w:r>
        <w:rPr>
          <w:rFonts w:hint="eastAsia" w:ascii="黑体" w:hAnsi="黑体" w:eastAsia="黑体"/>
          <w:szCs w:val="32"/>
        </w:rPr>
        <w:t>决算情况说明</w:t>
      </w:r>
    </w:p>
    <w:p>
      <w:pPr>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ind w:firstLine="640" w:firstLineChars="200"/>
        <w:rPr>
          <w:rFonts w:hint="eastAsia" w:ascii="仿宋_GB2312" w:hAnsi="仿宋"/>
          <w:szCs w:val="32"/>
        </w:rPr>
      </w:pPr>
      <w:r>
        <w:rPr>
          <w:rFonts w:hint="eastAsia" w:ascii="仿宋_GB2312" w:hAnsi="仿宋"/>
          <w:szCs w:val="32"/>
        </w:rPr>
        <w:t>2020年度收入总计</w:t>
      </w:r>
      <w:r>
        <w:rPr>
          <w:rFonts w:hint="eastAsia" w:ascii="仿宋_GB2312" w:hAnsi="仿宋"/>
          <w:szCs w:val="32"/>
          <w:lang w:val="en-US" w:eastAsia="zh-CN"/>
        </w:rPr>
        <w:t>114.23</w:t>
      </w:r>
      <w:r>
        <w:rPr>
          <w:rFonts w:hint="eastAsia" w:ascii="仿宋_GB2312" w:hAnsi="仿宋"/>
          <w:szCs w:val="32"/>
        </w:rPr>
        <w:t>万元（含使用非财政拨款结转结余和年初结转结余）、支出总计</w:t>
      </w:r>
      <w:r>
        <w:rPr>
          <w:rFonts w:hint="eastAsia" w:ascii="仿宋_GB2312" w:hAnsi="仿宋"/>
          <w:szCs w:val="32"/>
          <w:lang w:val="en-US" w:eastAsia="zh-CN"/>
        </w:rPr>
        <w:t>114.23</w:t>
      </w:r>
      <w:r>
        <w:rPr>
          <w:rFonts w:hint="eastAsia" w:ascii="仿宋_GB2312" w:hAnsi="仿宋"/>
          <w:szCs w:val="32"/>
        </w:rPr>
        <w:t>万元（含结余分配和年末结转结余）。与2019年相比，收、支总计各增加</w:t>
      </w:r>
      <w:r>
        <w:rPr>
          <w:rFonts w:hint="eastAsia" w:ascii="仿宋_GB2312" w:hAnsi="仿宋"/>
          <w:szCs w:val="32"/>
          <w:lang w:val="en-US" w:eastAsia="zh-CN"/>
        </w:rPr>
        <w:t>13.21</w:t>
      </w:r>
      <w:r>
        <w:rPr>
          <w:rFonts w:hint="eastAsia" w:ascii="仿宋_GB2312" w:hAnsi="仿宋"/>
          <w:szCs w:val="32"/>
        </w:rPr>
        <w:t>万元，增长</w:t>
      </w:r>
      <w:r>
        <w:rPr>
          <w:rFonts w:hint="eastAsia" w:ascii="仿宋_GB2312" w:hAnsi="仿宋"/>
          <w:szCs w:val="32"/>
          <w:lang w:val="en-US" w:eastAsia="zh-CN"/>
        </w:rPr>
        <w:t>13.1</w:t>
      </w:r>
      <w:r>
        <w:rPr>
          <w:rFonts w:hint="eastAsia" w:ascii="仿宋_GB2312" w:hAnsi="仿宋"/>
          <w:szCs w:val="32"/>
        </w:rPr>
        <w:t>%，主要原因：一是</w:t>
      </w:r>
      <w:r>
        <w:rPr>
          <w:rFonts w:hint="eastAsia" w:ascii="仿宋_GB2312" w:hAnsi="仿宋"/>
          <w:szCs w:val="32"/>
          <w:lang w:eastAsia="zh-CN"/>
        </w:rPr>
        <w:t>增加培训收</w:t>
      </w:r>
      <w:r>
        <w:rPr>
          <w:rFonts w:hint="eastAsia" w:ascii="仿宋_GB2312" w:hAnsi="仿宋"/>
          <w:szCs w:val="32"/>
        </w:rPr>
        <w:t>；二</w:t>
      </w:r>
      <w:r>
        <w:rPr>
          <w:rFonts w:hint="eastAsia" w:ascii="仿宋_GB2312" w:hAnsi="仿宋"/>
          <w:szCs w:val="32"/>
          <w:lang w:eastAsia="zh-CN"/>
        </w:rPr>
        <w:t>是增加在职和退休人员提租补贴</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rPr>
        <w:t>2020年度收入合计</w:t>
      </w:r>
      <w:r>
        <w:rPr>
          <w:rFonts w:hint="eastAsia" w:ascii="仿宋_GB2312" w:hAnsi="仿宋"/>
          <w:szCs w:val="32"/>
          <w:lang w:val="en-US" w:eastAsia="zh-CN"/>
        </w:rPr>
        <w:t>114.23</w:t>
      </w:r>
      <w:r>
        <w:rPr>
          <w:rFonts w:hint="eastAsia" w:ascii="仿宋_GB2312" w:hAnsi="仿宋"/>
          <w:szCs w:val="32"/>
        </w:rPr>
        <w:t>万元，其中：财政拨款收入</w:t>
      </w:r>
      <w:r>
        <w:rPr>
          <w:rFonts w:hint="eastAsia" w:ascii="仿宋_GB2312" w:hAnsi="仿宋"/>
          <w:szCs w:val="32"/>
          <w:lang w:val="en-US" w:eastAsia="zh-CN"/>
        </w:rPr>
        <w:t>28.98</w:t>
      </w:r>
      <w:r>
        <w:rPr>
          <w:rFonts w:hint="eastAsia" w:ascii="仿宋_GB2312" w:hAnsi="仿宋"/>
          <w:szCs w:val="32"/>
        </w:rPr>
        <w:t>万元，占</w:t>
      </w:r>
      <w:r>
        <w:rPr>
          <w:rFonts w:hint="eastAsia" w:ascii="仿宋_GB2312" w:hAnsi="仿宋"/>
          <w:szCs w:val="32"/>
          <w:lang w:val="en-US" w:eastAsia="zh-CN"/>
        </w:rPr>
        <w:t>25.4</w:t>
      </w:r>
      <w:r>
        <w:rPr>
          <w:rFonts w:hint="eastAsia" w:ascii="仿宋_GB2312" w:hAnsi="仿宋"/>
          <w:szCs w:val="32"/>
        </w:rPr>
        <w:t>%；事业收入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%；经营收入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%；其他收入</w:t>
      </w:r>
      <w:r>
        <w:rPr>
          <w:rFonts w:hint="eastAsia" w:ascii="仿宋_GB2312" w:hAnsi="仿宋"/>
          <w:szCs w:val="32"/>
          <w:lang w:val="en-US" w:eastAsia="zh-CN"/>
        </w:rPr>
        <w:t>85.24</w:t>
      </w:r>
      <w:r>
        <w:rPr>
          <w:rFonts w:hint="eastAsia" w:ascii="仿宋_GB2312" w:hAnsi="仿宋"/>
          <w:szCs w:val="32"/>
        </w:rPr>
        <w:t>万元，占</w:t>
      </w:r>
      <w:r>
        <w:rPr>
          <w:rFonts w:hint="eastAsia" w:ascii="仿宋_GB2312" w:hAnsi="仿宋"/>
          <w:szCs w:val="32"/>
          <w:lang w:val="en-US" w:eastAsia="zh-CN"/>
        </w:rPr>
        <w:t>74.6</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szCs w:val="32"/>
        </w:rPr>
      </w:pPr>
      <w:r>
        <w:rPr>
          <w:rFonts w:hint="eastAsia" w:ascii="仿宋_GB2312" w:hAnsi="仿宋"/>
          <w:szCs w:val="32"/>
        </w:rPr>
        <w:t>2020年度支出合计</w:t>
      </w:r>
      <w:r>
        <w:rPr>
          <w:rFonts w:hint="eastAsia" w:ascii="仿宋_GB2312" w:hAnsi="仿宋"/>
          <w:szCs w:val="32"/>
          <w:lang w:val="en-US" w:eastAsia="zh-CN"/>
        </w:rPr>
        <w:t>114.22</w:t>
      </w:r>
      <w:r>
        <w:rPr>
          <w:rFonts w:hint="eastAsia" w:ascii="仿宋_GB2312" w:hAnsi="仿宋"/>
          <w:szCs w:val="32"/>
        </w:rPr>
        <w:t>万元，其中：基本支出</w:t>
      </w:r>
      <w:r>
        <w:rPr>
          <w:rFonts w:hint="eastAsia" w:ascii="仿宋_GB2312" w:hAnsi="仿宋"/>
          <w:szCs w:val="32"/>
          <w:lang w:val="en-US" w:eastAsia="zh-CN"/>
        </w:rPr>
        <w:t>114.22</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%；项目支出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%；经营支出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40" w:firstLineChars="200"/>
        <w:rPr>
          <w:rFonts w:hint="eastAsia" w:ascii="仿宋_GB2312" w:hAnsi="仿宋"/>
          <w:color w:val="000000"/>
          <w:szCs w:val="32"/>
        </w:rPr>
      </w:pPr>
      <w:r>
        <w:rPr>
          <w:rFonts w:hint="eastAsia" w:ascii="仿宋_GB2312" w:hAnsi="仿宋"/>
          <w:szCs w:val="32"/>
        </w:rPr>
        <w:t>2020年度财政拨款收入总计</w:t>
      </w:r>
      <w:r>
        <w:rPr>
          <w:rFonts w:hint="eastAsia" w:ascii="仿宋_GB2312" w:hAnsi="仿宋"/>
          <w:szCs w:val="32"/>
          <w:lang w:val="en-US" w:eastAsia="zh-CN"/>
        </w:rPr>
        <w:t>28.98</w:t>
      </w:r>
      <w:r>
        <w:rPr>
          <w:rFonts w:hint="eastAsia" w:ascii="仿宋_GB2312" w:hAnsi="仿宋"/>
          <w:szCs w:val="32"/>
        </w:rPr>
        <w:t>万元（含年初财政拨款结转结余），支出总计</w:t>
      </w:r>
      <w:r>
        <w:rPr>
          <w:rFonts w:hint="eastAsia" w:ascii="仿宋_GB2312" w:hAnsi="仿宋"/>
          <w:szCs w:val="32"/>
          <w:lang w:val="en-US" w:eastAsia="zh-CN"/>
        </w:rPr>
        <w:t>28.98</w:t>
      </w:r>
      <w:r>
        <w:rPr>
          <w:rFonts w:hint="eastAsia" w:ascii="仿宋_GB2312" w:hAnsi="仿宋"/>
          <w:szCs w:val="32"/>
        </w:rPr>
        <w:t>万元（含年末财政拨款结转和结余）。与2019年相比，财政拨款收、支总计各增加</w:t>
      </w:r>
      <w:r>
        <w:rPr>
          <w:rFonts w:hint="eastAsia" w:ascii="仿宋_GB2312" w:hAnsi="仿宋"/>
          <w:szCs w:val="32"/>
          <w:lang w:val="en-US" w:eastAsia="zh-CN"/>
        </w:rPr>
        <w:t>1.3</w:t>
      </w:r>
      <w:r>
        <w:rPr>
          <w:rFonts w:hint="eastAsia" w:ascii="仿宋_GB2312" w:hAnsi="仿宋"/>
          <w:szCs w:val="32"/>
        </w:rPr>
        <w:t>万元，增长</w:t>
      </w:r>
      <w:r>
        <w:rPr>
          <w:rFonts w:hint="eastAsia" w:ascii="仿宋_GB2312" w:hAnsi="仿宋"/>
          <w:szCs w:val="32"/>
          <w:lang w:val="en-US" w:eastAsia="zh-CN"/>
        </w:rPr>
        <w:t>4.7</w:t>
      </w:r>
      <w:r>
        <w:rPr>
          <w:rFonts w:hint="eastAsia" w:ascii="仿宋_GB2312" w:hAnsi="仿宋"/>
          <w:szCs w:val="32"/>
        </w:rPr>
        <w:t>%，主要原因：是</w:t>
      </w:r>
      <w:r>
        <w:rPr>
          <w:rFonts w:hint="eastAsia" w:ascii="仿宋_GB2312" w:hAnsi="仿宋"/>
          <w:szCs w:val="32"/>
          <w:lang w:eastAsia="zh-CN"/>
        </w:rPr>
        <w:t>正常增加人员经</w:t>
      </w:r>
      <w:r>
        <w:rPr>
          <w:rFonts w:hint="eastAsia" w:ascii="仿宋_GB2312" w:hAnsi="仿宋"/>
          <w:color w:val="000000"/>
          <w:szCs w:val="32"/>
        </w:rPr>
        <w:t>。</w:t>
      </w:r>
    </w:p>
    <w:p>
      <w:pPr>
        <w:ind w:firstLine="640" w:firstLineChars="200"/>
        <w:rPr>
          <w:rFonts w:hint="eastAsia" w:ascii="黑体" w:hAnsi="仿宋" w:eastAsia="黑体"/>
          <w:szCs w:val="32"/>
        </w:rPr>
      </w:pPr>
      <w:r>
        <w:rPr>
          <w:rFonts w:hint="eastAsia" w:ascii="黑体" w:hAnsi="仿宋" w:eastAsia="黑体"/>
          <w:szCs w:val="32"/>
        </w:rPr>
        <w:t>五、一般公共预算财政拨款支出决算情况说明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（一）一般公共预算财政拨款支出决算总体情况。</w:t>
      </w:r>
    </w:p>
    <w:p>
      <w:pPr>
        <w:ind w:firstLine="640" w:firstLineChars="200"/>
        <w:rPr>
          <w:rFonts w:hint="eastAsia" w:ascii="仿宋_GB2312" w:hAnsi="仿宋"/>
          <w:szCs w:val="32"/>
        </w:rPr>
      </w:pPr>
      <w:r>
        <w:rPr>
          <w:rFonts w:hint="eastAsia" w:ascii="仿宋_GB2312" w:hAnsi="仿宋"/>
          <w:szCs w:val="32"/>
        </w:rPr>
        <w:t>2020年度一般公共预算财政拨款支出</w:t>
      </w:r>
      <w:r>
        <w:rPr>
          <w:rFonts w:hint="eastAsia" w:ascii="仿宋_GB2312" w:hAnsi="仿宋"/>
          <w:szCs w:val="32"/>
          <w:lang w:val="en-US" w:eastAsia="zh-CN"/>
        </w:rPr>
        <w:t>28.98</w:t>
      </w:r>
      <w:r>
        <w:rPr>
          <w:rFonts w:hint="eastAsia" w:ascii="仿宋_GB2312" w:hAnsi="仿宋"/>
          <w:szCs w:val="32"/>
        </w:rPr>
        <w:t>万元，占本年支出的</w:t>
      </w:r>
      <w:r>
        <w:rPr>
          <w:rFonts w:hint="eastAsia" w:ascii="仿宋_GB2312" w:hAnsi="仿宋"/>
          <w:szCs w:val="32"/>
          <w:lang w:val="en-US" w:eastAsia="zh-CN"/>
        </w:rPr>
        <w:t>25.4</w:t>
      </w:r>
      <w:r>
        <w:rPr>
          <w:rFonts w:hint="eastAsia" w:ascii="仿宋_GB2312" w:hAnsi="仿宋"/>
          <w:szCs w:val="32"/>
        </w:rPr>
        <w:t>%。与2019年相比，一般公共预算财政拨款支出增加</w:t>
      </w:r>
      <w:r>
        <w:rPr>
          <w:rFonts w:hint="eastAsia" w:ascii="仿宋_GB2312" w:hAnsi="仿宋"/>
          <w:szCs w:val="32"/>
          <w:lang w:val="en-US" w:eastAsia="zh-CN"/>
        </w:rPr>
        <w:t>1.3</w:t>
      </w:r>
      <w:r>
        <w:rPr>
          <w:rFonts w:hint="eastAsia" w:ascii="仿宋_GB2312" w:hAnsi="仿宋"/>
          <w:szCs w:val="32"/>
        </w:rPr>
        <w:t>万元，增长</w:t>
      </w:r>
      <w:r>
        <w:rPr>
          <w:rFonts w:hint="eastAsia" w:ascii="仿宋_GB2312" w:hAnsi="仿宋"/>
          <w:szCs w:val="32"/>
          <w:lang w:val="en-US" w:eastAsia="zh-CN"/>
        </w:rPr>
        <w:t>4.7</w:t>
      </w:r>
      <w:r>
        <w:rPr>
          <w:rFonts w:hint="eastAsia" w:ascii="仿宋_GB2312" w:hAnsi="仿宋"/>
          <w:szCs w:val="32"/>
        </w:rPr>
        <w:t>%。主要原因是</w:t>
      </w:r>
      <w:r>
        <w:rPr>
          <w:rFonts w:hint="eastAsia" w:ascii="仿宋_GB2312" w:hAnsi="仿宋"/>
          <w:szCs w:val="32"/>
          <w:lang w:eastAsia="zh-CN"/>
        </w:rPr>
        <w:t>正常增加人员经</w:t>
      </w:r>
      <w:r>
        <w:rPr>
          <w:rFonts w:hint="eastAsia" w:ascii="仿宋_GB2312" w:hAnsi="仿宋"/>
          <w:color w:val="000000"/>
          <w:szCs w:val="32"/>
        </w:rPr>
        <w:t>。</w:t>
      </w:r>
    </w:p>
    <w:p>
      <w:pPr>
        <w:ind w:firstLine="643" w:firstLineChars="200"/>
        <w:rPr>
          <w:rFonts w:hint="eastAsia" w:ascii="仿宋_GB2312" w:hAnsi="仿宋"/>
          <w:b/>
          <w:szCs w:val="32"/>
        </w:rPr>
      </w:pPr>
      <w:r>
        <w:rPr>
          <w:rFonts w:hint="eastAsia" w:ascii="仿宋_GB2312" w:hAnsi="仿宋"/>
          <w:b/>
          <w:szCs w:val="32"/>
        </w:rPr>
        <w:t>（二）一般公共预算财政拨款支出决算结构情况。</w:t>
      </w:r>
    </w:p>
    <w:p>
      <w:pPr>
        <w:ind w:firstLine="640" w:firstLineChars="200"/>
        <w:rPr>
          <w:rFonts w:hint="eastAsia" w:ascii="楷体_GB2312" w:hAnsi="仿宋" w:eastAsia="楷体_GB2312"/>
          <w:szCs w:val="32"/>
        </w:rPr>
      </w:pPr>
      <w:r>
        <w:rPr>
          <w:rFonts w:hint="eastAsia" w:ascii="仿宋_GB2312" w:hAnsi="仿宋"/>
          <w:szCs w:val="32"/>
        </w:rPr>
        <w:t>2020年度一般公共预算财政拨款支出</w:t>
      </w:r>
      <w:r>
        <w:rPr>
          <w:rFonts w:hint="eastAsia" w:ascii="仿宋_GB2312" w:hAnsi="仿宋"/>
          <w:szCs w:val="32"/>
          <w:lang w:val="en-US" w:eastAsia="zh-CN"/>
        </w:rPr>
        <w:t>28.98</w:t>
      </w:r>
      <w:r>
        <w:rPr>
          <w:rFonts w:hint="eastAsia" w:ascii="仿宋_GB2312" w:hAnsi="仿宋"/>
          <w:szCs w:val="32"/>
        </w:rPr>
        <w:t>万元，主要用于以下方面：</w:t>
      </w:r>
      <w:r>
        <w:rPr>
          <w:rFonts w:hint="eastAsia" w:ascii="仿宋_GB2312" w:hAnsi="仿宋"/>
          <w:b/>
          <w:szCs w:val="32"/>
        </w:rPr>
        <w:t>一般公共服务（类）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教育（类）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科学技术（类）</w:t>
      </w:r>
      <w:r>
        <w:rPr>
          <w:rFonts w:hint="eastAsia" w:ascii="仿宋_GB2312" w:hAnsi="仿宋"/>
          <w:szCs w:val="32"/>
        </w:rPr>
        <w:t>支出</w:t>
      </w:r>
      <w:r>
        <w:rPr>
          <w:rFonts w:hint="eastAsia" w:ascii="仿宋_GB2312" w:hAnsi="仿宋"/>
          <w:szCs w:val="32"/>
          <w:lang w:val="en-US" w:eastAsia="zh-CN"/>
        </w:rPr>
        <w:t>16.45</w:t>
      </w:r>
      <w:r>
        <w:rPr>
          <w:rFonts w:hint="eastAsia" w:ascii="仿宋_GB2312" w:hAnsi="仿宋"/>
          <w:szCs w:val="32"/>
        </w:rPr>
        <w:t>万元，占</w:t>
      </w:r>
      <w:r>
        <w:rPr>
          <w:rFonts w:hint="eastAsia" w:ascii="仿宋_GB2312" w:hAnsi="仿宋"/>
          <w:szCs w:val="32"/>
          <w:lang w:val="en-US" w:eastAsia="zh-CN"/>
        </w:rPr>
        <w:t>56.8</w:t>
      </w:r>
      <w:r>
        <w:rPr>
          <w:rFonts w:hint="eastAsia" w:ascii="仿宋_GB2312" w:hAnsi="仿宋"/>
          <w:szCs w:val="32"/>
        </w:rPr>
        <w:t>%；</w:t>
      </w:r>
      <w:r>
        <w:rPr>
          <w:rFonts w:hint="eastAsia" w:ascii="仿宋_GB2312" w:hAnsi="仿宋"/>
          <w:b/>
          <w:szCs w:val="32"/>
        </w:rPr>
        <w:t>文化</w:t>
      </w:r>
      <w:r>
        <w:rPr>
          <w:rFonts w:hint="eastAsia" w:ascii="仿宋_GB2312" w:hAnsi="仿宋"/>
          <w:b/>
          <w:szCs w:val="32"/>
          <w:lang w:eastAsia="zh-CN"/>
        </w:rPr>
        <w:t>旅游</w:t>
      </w:r>
      <w:r>
        <w:rPr>
          <w:rFonts w:hint="eastAsia" w:ascii="仿宋_GB2312" w:hAnsi="仿宋"/>
          <w:b/>
          <w:szCs w:val="32"/>
        </w:rPr>
        <w:t>体育与传媒（类）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9.2</w:t>
      </w:r>
      <w:r>
        <w:rPr>
          <w:rFonts w:hint="eastAsia" w:ascii="仿宋_GB2312" w:hAnsi="仿宋"/>
          <w:szCs w:val="32"/>
        </w:rPr>
        <w:t>万元，占</w:t>
      </w:r>
      <w:r>
        <w:rPr>
          <w:rFonts w:hint="eastAsia" w:ascii="仿宋_GB2312" w:hAnsi="仿宋"/>
          <w:szCs w:val="32"/>
          <w:lang w:val="en-US" w:eastAsia="zh-CN"/>
        </w:rPr>
        <w:t>31.8</w:t>
      </w:r>
      <w:r>
        <w:rPr>
          <w:rFonts w:hint="eastAsia" w:ascii="仿宋_GB2312" w:hAnsi="仿宋"/>
          <w:szCs w:val="32"/>
        </w:rPr>
        <w:t>%；</w:t>
      </w:r>
      <w:r>
        <w:rPr>
          <w:rFonts w:hint="eastAsia" w:ascii="仿宋_GB2312" w:hAnsi="仿宋"/>
          <w:b/>
          <w:szCs w:val="32"/>
        </w:rPr>
        <w:t>农林水（类）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住房保障（类）</w:t>
      </w:r>
      <w:r>
        <w:rPr>
          <w:rFonts w:hint="eastAsia" w:ascii="仿宋_GB2312" w:hAnsi="仿宋"/>
          <w:szCs w:val="32"/>
        </w:rPr>
        <w:t>支出</w:t>
      </w:r>
      <w:r>
        <w:rPr>
          <w:rFonts w:hint="eastAsia" w:ascii="仿宋_GB2312" w:hAnsi="仿宋"/>
          <w:szCs w:val="32"/>
          <w:lang w:val="en-US" w:eastAsia="zh-CN"/>
        </w:rPr>
        <w:t>1.66</w:t>
      </w:r>
      <w:r>
        <w:rPr>
          <w:rFonts w:hint="eastAsia" w:ascii="仿宋_GB2312" w:hAnsi="仿宋"/>
          <w:szCs w:val="32"/>
        </w:rPr>
        <w:t>万元，占</w:t>
      </w:r>
      <w:r>
        <w:rPr>
          <w:rFonts w:hint="eastAsia" w:ascii="仿宋_GB2312" w:hAnsi="仿宋"/>
          <w:szCs w:val="32"/>
          <w:lang w:val="en-US" w:eastAsia="zh-CN"/>
        </w:rPr>
        <w:t>5.7</w:t>
      </w:r>
      <w:r>
        <w:rPr>
          <w:rFonts w:hint="eastAsia" w:ascii="仿宋_GB2312" w:hAnsi="仿宋"/>
          <w:szCs w:val="32"/>
        </w:rPr>
        <w:t>%；</w:t>
      </w:r>
      <w:r>
        <w:rPr>
          <w:rFonts w:hint="eastAsia" w:ascii="仿宋_GB2312" w:hAnsi="仿宋"/>
          <w:b/>
          <w:bCs/>
          <w:szCs w:val="32"/>
          <w:lang w:eastAsia="zh-CN"/>
        </w:rPr>
        <w:t>卫生健康（类）</w:t>
      </w:r>
      <w:r>
        <w:rPr>
          <w:rFonts w:hint="eastAsia" w:ascii="仿宋_GB2312" w:hAnsi="仿宋"/>
          <w:b w:val="0"/>
          <w:bCs w:val="0"/>
          <w:szCs w:val="32"/>
          <w:lang w:eastAsia="zh-CN"/>
        </w:rPr>
        <w:t>支出</w:t>
      </w:r>
      <w:r>
        <w:rPr>
          <w:rFonts w:hint="eastAsia" w:ascii="仿宋_GB2312" w:hAnsi="仿宋"/>
          <w:b w:val="0"/>
          <w:bCs w:val="0"/>
          <w:szCs w:val="32"/>
          <w:lang w:val="en-US" w:eastAsia="zh-CN"/>
        </w:rPr>
        <w:t>1.68万元，占5.8%</w:t>
      </w:r>
      <w:r>
        <w:rPr>
          <w:rFonts w:hint="eastAsia" w:ascii="仿宋_GB2312" w:hAnsi="仿宋"/>
          <w:szCs w:val="32"/>
        </w:rPr>
        <w:t>。</w:t>
      </w:r>
    </w:p>
    <w:p>
      <w:pPr>
        <w:ind w:firstLine="643" w:firstLineChars="200"/>
        <w:rPr>
          <w:rFonts w:hint="eastAsia" w:ascii="仿宋_GB2312" w:hAnsi="仿宋"/>
          <w:b/>
          <w:bCs/>
          <w:szCs w:val="32"/>
        </w:rPr>
      </w:pPr>
      <w:r>
        <w:rPr>
          <w:rFonts w:hint="eastAsia" w:ascii="仿宋_GB2312" w:hAnsi="仿宋"/>
          <w:b/>
          <w:bCs/>
          <w:szCs w:val="32"/>
        </w:rPr>
        <w:t>（三）一般公共预算财政拨款支出决算具体情况。</w:t>
      </w:r>
    </w:p>
    <w:p>
      <w:pPr>
        <w:ind w:firstLine="640" w:firstLineChars="200"/>
        <w:rPr>
          <w:rFonts w:hint="eastAsia" w:ascii="仿宋_GB2312" w:hAnsi="仿宋"/>
          <w:szCs w:val="32"/>
        </w:rPr>
      </w:pPr>
      <w:r>
        <w:rPr>
          <w:rFonts w:hint="eastAsia" w:ascii="仿宋_GB2312" w:hAnsi="仿宋"/>
          <w:szCs w:val="32"/>
        </w:rPr>
        <w:t>2020年度一般公共预算财政拨款支出年初预算为</w:t>
      </w:r>
      <w:r>
        <w:rPr>
          <w:rFonts w:hint="eastAsia" w:ascii="仿宋_GB2312" w:hAnsi="仿宋"/>
          <w:szCs w:val="32"/>
          <w:lang w:val="en-US" w:eastAsia="zh-CN"/>
        </w:rPr>
        <w:t>21.19</w:t>
      </w:r>
      <w:r>
        <w:rPr>
          <w:rFonts w:hint="eastAsia" w:ascii="仿宋_GB2312" w:hAnsi="仿宋"/>
          <w:szCs w:val="32"/>
        </w:rPr>
        <w:t>万元，支出决算为</w:t>
      </w:r>
      <w:r>
        <w:rPr>
          <w:rFonts w:hint="eastAsia" w:ascii="仿宋_GB2312" w:hAnsi="仿宋"/>
          <w:szCs w:val="32"/>
          <w:lang w:val="en-US" w:eastAsia="zh-CN"/>
        </w:rPr>
        <w:t>28.98</w:t>
      </w:r>
      <w:r>
        <w:rPr>
          <w:rFonts w:hint="eastAsia" w:ascii="仿宋_GB2312" w:hAnsi="仿宋"/>
          <w:szCs w:val="32"/>
        </w:rPr>
        <w:t>万元，完成年初预算的</w:t>
      </w:r>
      <w:r>
        <w:rPr>
          <w:rFonts w:hint="eastAsia" w:ascii="仿宋_GB2312" w:hAnsi="仿宋"/>
          <w:szCs w:val="32"/>
          <w:lang w:val="en-US" w:eastAsia="zh-CN"/>
        </w:rPr>
        <w:t>136.8</w:t>
      </w:r>
      <w:r>
        <w:rPr>
          <w:rFonts w:hint="eastAsia" w:ascii="仿宋_GB2312" w:hAnsi="仿宋"/>
          <w:szCs w:val="32"/>
        </w:rPr>
        <w:t>%。决算数大于预算数的主要原因:一是</w:t>
      </w:r>
      <w:r>
        <w:rPr>
          <w:rFonts w:hint="eastAsia" w:ascii="仿宋_GB2312" w:hAnsi="仿宋"/>
          <w:szCs w:val="32"/>
          <w:lang w:eastAsia="zh-CN"/>
        </w:rPr>
        <w:t>正常增加人员经</w:t>
      </w:r>
      <w:r>
        <w:rPr>
          <w:rFonts w:hint="eastAsia" w:ascii="仿宋_GB2312" w:hAnsi="仿宋"/>
          <w:szCs w:val="32"/>
        </w:rPr>
        <w:t>；二是</w:t>
      </w:r>
      <w:r>
        <w:rPr>
          <w:rFonts w:hint="eastAsia" w:ascii="仿宋_GB2312" w:hAnsi="仿宋"/>
          <w:szCs w:val="32"/>
          <w:lang w:eastAsia="zh-CN"/>
        </w:rPr>
        <w:t>退休人员慰问金</w:t>
      </w:r>
      <w:r>
        <w:rPr>
          <w:rFonts w:hint="eastAsia" w:ascii="仿宋_GB2312" w:hAnsi="仿宋"/>
          <w:szCs w:val="32"/>
        </w:rPr>
        <w:t>。其中:基本支出</w:t>
      </w:r>
      <w:r>
        <w:rPr>
          <w:rFonts w:hint="eastAsia" w:ascii="仿宋_GB2312" w:hAnsi="仿宋"/>
          <w:szCs w:val="32"/>
          <w:lang w:val="en-US" w:eastAsia="zh-CN"/>
        </w:rPr>
        <w:t>28.98</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%；项目支出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numPr>
          <w:ilvl w:val="0"/>
          <w:numId w:val="2"/>
        </w:numPr>
        <w:ind w:firstLine="643" w:firstLineChars="200"/>
        <w:rPr>
          <w:rFonts w:hint="eastAsia" w:ascii="仿宋_GB2312" w:hAnsi="仿宋"/>
          <w:color w:val="000000"/>
          <w:szCs w:val="32"/>
        </w:rPr>
      </w:pPr>
      <w:r>
        <w:rPr>
          <w:rFonts w:hint="eastAsia" w:ascii="仿宋_GB2312" w:hAnsi="仿宋"/>
          <w:b/>
          <w:szCs w:val="32"/>
        </w:rPr>
        <w:t>一般公共服务（类）</w:t>
      </w:r>
      <w:r>
        <w:rPr>
          <w:rFonts w:hint="eastAsia" w:ascii="仿宋_GB2312" w:hAnsi="仿宋"/>
          <w:b/>
          <w:szCs w:val="32"/>
          <w:lang w:eastAsia="zh-CN"/>
        </w:rPr>
        <w:t>科学技术支出</w:t>
      </w:r>
      <w:r>
        <w:rPr>
          <w:rFonts w:hint="eastAsia" w:ascii="仿宋_GB2312" w:hAnsi="仿宋"/>
          <w:b/>
          <w:szCs w:val="32"/>
        </w:rPr>
        <w:t>（款）</w:t>
      </w:r>
      <w:r>
        <w:rPr>
          <w:rFonts w:hint="eastAsia" w:ascii="仿宋_GB2312" w:hAnsi="仿宋"/>
          <w:b/>
          <w:szCs w:val="32"/>
          <w:lang w:eastAsia="zh-CN"/>
        </w:rPr>
        <w:t>机构运行</w:t>
      </w:r>
      <w:r>
        <w:rPr>
          <w:rFonts w:hint="eastAsia" w:ascii="仿宋_GB2312" w:hAnsi="仿宋"/>
          <w:b/>
          <w:szCs w:val="32"/>
        </w:rPr>
        <w:t>（项）</w:t>
      </w:r>
      <w:r>
        <w:rPr>
          <w:rFonts w:hint="eastAsia" w:ascii="仿宋_GB2312" w:hAnsi="仿宋"/>
          <w:szCs w:val="32"/>
        </w:rPr>
        <w:t>。年初预算为</w:t>
      </w:r>
      <w:r>
        <w:rPr>
          <w:rFonts w:hint="eastAsia" w:ascii="仿宋_GB2312" w:hAnsi="仿宋"/>
          <w:szCs w:val="32"/>
          <w:lang w:val="en-US" w:eastAsia="zh-CN"/>
        </w:rPr>
        <w:t>16.23</w:t>
      </w:r>
      <w:r>
        <w:rPr>
          <w:rFonts w:hint="eastAsia" w:ascii="仿宋_GB2312" w:hAnsi="仿宋"/>
          <w:szCs w:val="32"/>
        </w:rPr>
        <w:t>万元，支出决算为</w:t>
      </w:r>
      <w:r>
        <w:rPr>
          <w:rFonts w:hint="eastAsia" w:ascii="仿宋_GB2312" w:hAnsi="仿宋"/>
          <w:szCs w:val="32"/>
          <w:lang w:val="en-US" w:eastAsia="zh-CN"/>
        </w:rPr>
        <w:t>16.45</w:t>
      </w:r>
      <w:r>
        <w:rPr>
          <w:rFonts w:hint="eastAsia" w:ascii="仿宋_GB2312" w:hAnsi="仿宋"/>
          <w:szCs w:val="32"/>
        </w:rPr>
        <w:t>万元，完成年初预算的</w:t>
      </w:r>
      <w:r>
        <w:rPr>
          <w:rFonts w:hint="eastAsia" w:ascii="仿宋_GB2312" w:hAnsi="仿宋"/>
          <w:szCs w:val="32"/>
          <w:lang w:val="en-US" w:eastAsia="zh-CN"/>
        </w:rPr>
        <w:t>101.4</w:t>
      </w:r>
      <w:r>
        <w:rPr>
          <w:rFonts w:hint="eastAsia" w:ascii="仿宋_GB2312" w:hAnsi="仿宋"/>
          <w:szCs w:val="32"/>
        </w:rPr>
        <w:t>%，决算数大于预算数的主要原因是</w:t>
      </w:r>
      <w:r>
        <w:rPr>
          <w:rFonts w:hint="eastAsia" w:ascii="仿宋_GB2312" w:hAnsi="仿宋"/>
          <w:szCs w:val="32"/>
          <w:lang w:eastAsia="zh-CN"/>
        </w:rPr>
        <w:t>正常增加人员经</w:t>
      </w:r>
      <w:r>
        <w:rPr>
          <w:rFonts w:hint="eastAsia" w:ascii="仿宋_GB2312" w:hAnsi="仿宋"/>
          <w:color w:val="000000"/>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2</w:t>
      </w:r>
      <w:r>
        <w:rPr>
          <w:rFonts w:hint="eastAsia" w:ascii="仿宋_GB2312" w:hAnsi="黑体" w:eastAsia="仿宋_GB2312"/>
          <w:b/>
          <w:sz w:val="32"/>
          <w:szCs w:val="32"/>
        </w:rPr>
        <w:t>. 社会保障和就业支出（类）行政事业单位离退休（款）机关事业单位</w:t>
      </w:r>
      <w:r>
        <w:rPr>
          <w:rFonts w:hint="eastAsia" w:ascii="仿宋_GB2312" w:hAnsi="黑体" w:eastAsia="仿宋_GB2312"/>
          <w:b/>
          <w:sz w:val="32"/>
          <w:szCs w:val="32"/>
          <w:lang w:eastAsia="zh-CN"/>
        </w:rPr>
        <w:t>养老保险</w:t>
      </w:r>
      <w:r>
        <w:rPr>
          <w:rFonts w:hint="eastAsia" w:ascii="仿宋_GB2312" w:hAnsi="黑体" w:eastAsia="仿宋_GB2312"/>
          <w:b/>
          <w:sz w:val="32"/>
          <w:szCs w:val="32"/>
        </w:rPr>
        <w:t>缴费支出（项）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1.96</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1.96</w:t>
      </w:r>
      <w:r>
        <w:rPr>
          <w:rFonts w:hint="eastAsia" w:ascii="仿宋_GB2312" w:hAnsi="黑体" w:eastAsia="仿宋_GB2312"/>
          <w:sz w:val="32"/>
          <w:szCs w:val="32"/>
        </w:rPr>
        <w:t>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3</w:t>
      </w:r>
      <w:r>
        <w:rPr>
          <w:rFonts w:hint="eastAsia" w:ascii="仿宋_GB2312" w:hAnsi="黑体" w:eastAsia="仿宋_GB2312"/>
          <w:b/>
          <w:sz w:val="32"/>
          <w:szCs w:val="32"/>
        </w:rPr>
        <w:t>. 社会保障和就业支出（类）行政事业单位离退休（款）机关事业单位职业年金缴费支出（项）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0.98</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0.98</w:t>
      </w:r>
      <w:r>
        <w:rPr>
          <w:rFonts w:hint="eastAsia" w:ascii="仿宋_GB2312" w:hAnsi="黑体" w:eastAsia="仿宋_GB2312"/>
          <w:sz w:val="32"/>
          <w:szCs w:val="32"/>
        </w:rPr>
        <w:t>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4</w:t>
      </w:r>
      <w:r>
        <w:rPr>
          <w:rFonts w:hint="eastAsia" w:ascii="仿宋_GB2312" w:hAnsi="黑体" w:eastAsia="仿宋_GB2312"/>
          <w:b/>
          <w:sz w:val="32"/>
          <w:szCs w:val="32"/>
        </w:rPr>
        <w:t>．卫生健康支出（类）行政事业单位医疗（款）</w:t>
      </w:r>
      <w:r>
        <w:rPr>
          <w:rFonts w:hint="eastAsia" w:ascii="仿宋_GB2312" w:hAnsi="黑体" w:eastAsia="仿宋_GB2312"/>
          <w:b/>
          <w:sz w:val="32"/>
          <w:szCs w:val="32"/>
          <w:lang w:eastAsia="zh-CN"/>
        </w:rPr>
        <w:t>事业</w:t>
      </w:r>
      <w:r>
        <w:rPr>
          <w:rFonts w:hint="eastAsia" w:ascii="仿宋_GB2312" w:hAnsi="黑体" w:eastAsia="仿宋_GB2312"/>
          <w:b/>
          <w:sz w:val="32"/>
          <w:szCs w:val="32"/>
        </w:rPr>
        <w:t>单位医疗（项）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1.09</w:t>
      </w:r>
      <w:r>
        <w:rPr>
          <w:rFonts w:hint="eastAsia" w:ascii="仿宋_GB2312" w:hAnsi="黑体" w:eastAsia="仿宋_GB2312"/>
          <w:sz w:val="32"/>
          <w:szCs w:val="32"/>
        </w:rPr>
        <w:t>万元，支出决算</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1.09</w:t>
      </w:r>
      <w:r>
        <w:rPr>
          <w:rFonts w:hint="eastAsia" w:ascii="仿宋_GB2312" w:hAnsi="黑体" w:eastAsia="仿宋_GB2312"/>
          <w:sz w:val="32"/>
          <w:szCs w:val="32"/>
        </w:rPr>
        <w:t>万元，完成年初预算的10</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5</w:t>
      </w:r>
      <w:r>
        <w:rPr>
          <w:rFonts w:hint="eastAsia" w:ascii="仿宋_GB2312" w:hAnsi="黑体" w:eastAsia="仿宋_GB2312"/>
          <w:b/>
          <w:sz w:val="32"/>
          <w:szCs w:val="32"/>
        </w:rPr>
        <w:t>．卫生健康支出（类）行政事业单位医疗（款）公务员医疗补助（项）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0.59</w:t>
      </w:r>
      <w:r>
        <w:rPr>
          <w:rFonts w:hint="eastAsia" w:ascii="仿宋_GB2312" w:hAnsi="黑体" w:eastAsia="仿宋_GB2312"/>
          <w:sz w:val="32"/>
          <w:szCs w:val="32"/>
        </w:rPr>
        <w:t>万元，支出决算</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0.59</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color w:val="000000"/>
          <w:szCs w:val="32"/>
          <w:lang w:eastAsia="zh-CN"/>
        </w:rPr>
      </w:pPr>
      <w:r>
        <w:rPr>
          <w:rFonts w:hint="eastAsia" w:ascii="仿宋_GB2312" w:hAnsi="黑体" w:eastAsia="仿宋_GB2312"/>
          <w:b/>
          <w:sz w:val="32"/>
          <w:szCs w:val="32"/>
          <w:lang w:val="en-US" w:eastAsia="zh-CN"/>
        </w:rPr>
        <w:t>6</w:t>
      </w:r>
      <w:r>
        <w:rPr>
          <w:rFonts w:hint="eastAsia" w:ascii="仿宋_GB2312" w:hAnsi="黑体" w:eastAsia="仿宋_GB2312"/>
          <w:b/>
          <w:sz w:val="32"/>
          <w:szCs w:val="32"/>
        </w:rPr>
        <w:t>．住房保障支出（类）住房改革支出（款）</w:t>
      </w:r>
      <w:r>
        <w:rPr>
          <w:rFonts w:hint="eastAsia" w:ascii="仿宋_GB2312" w:hAnsi="黑体" w:eastAsia="仿宋_GB2312"/>
          <w:b/>
          <w:sz w:val="32"/>
          <w:szCs w:val="32"/>
          <w:lang w:eastAsia="zh-CN"/>
        </w:rPr>
        <w:t>提租补贴</w:t>
      </w:r>
      <w:r>
        <w:rPr>
          <w:rFonts w:hint="eastAsia" w:ascii="仿宋_GB2312" w:hAnsi="黑体" w:eastAsia="仿宋_GB2312"/>
          <w:b/>
          <w:sz w:val="32"/>
          <w:szCs w:val="32"/>
        </w:rPr>
        <w:t>（项）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万元，支出决算</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1.66</w:t>
      </w:r>
      <w:r>
        <w:rPr>
          <w:rFonts w:hint="eastAsia" w:ascii="仿宋_GB2312" w:hAnsi="黑体" w:eastAsia="仿宋_GB2312"/>
          <w:sz w:val="32"/>
          <w:szCs w:val="32"/>
        </w:rPr>
        <w:t>万元，决算数大于预算数的主要原因</w:t>
      </w:r>
      <w:r>
        <w:rPr>
          <w:rFonts w:hint="eastAsia" w:ascii="仿宋_GB2312" w:hAnsi="仿宋" w:eastAsia="仿宋_GB2312"/>
          <w:sz w:val="32"/>
          <w:szCs w:val="32"/>
        </w:rPr>
        <w:t>是</w:t>
      </w:r>
      <w:r>
        <w:rPr>
          <w:rFonts w:hint="eastAsia" w:ascii="仿宋_GB2312" w:hAnsi="仿宋" w:eastAsia="仿宋_GB2312"/>
          <w:sz w:val="32"/>
          <w:szCs w:val="32"/>
          <w:lang w:eastAsia="zh-CN"/>
        </w:rPr>
        <w:t>提租补贴是新增项目。</w:t>
      </w: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cs="Times New Roman"/>
          <w:szCs w:val="32"/>
          <w:lang w:val="en-US" w:eastAsia="zh-CN"/>
        </w:rPr>
      </w:pPr>
      <w:r>
        <w:rPr>
          <w:rFonts w:hint="eastAsia" w:ascii="仿宋_GB2312" w:hAnsi="仿宋" w:cs="Times New Roman"/>
          <w:szCs w:val="32"/>
        </w:rPr>
        <w:t>2020年度</w:t>
      </w:r>
      <w:r>
        <w:rPr>
          <w:rFonts w:hint="eastAsia" w:ascii="仿宋_GB2312" w:hAnsi="仿宋" w:cs="Times New Roman"/>
          <w:szCs w:val="32"/>
          <w:lang w:eastAsia="zh-CN"/>
        </w:rPr>
        <w:t>一般公共预算</w:t>
      </w:r>
      <w:r>
        <w:rPr>
          <w:rFonts w:hint="eastAsia" w:ascii="仿宋_GB2312" w:hAnsi="仿宋" w:cs="Times New Roman"/>
          <w:szCs w:val="32"/>
        </w:rPr>
        <w:t>财政拨款基本支出</w:t>
      </w:r>
      <w:r>
        <w:rPr>
          <w:rFonts w:hint="eastAsia" w:ascii="仿宋_GB2312" w:hAnsi="仿宋" w:cs="Times New Roman"/>
          <w:szCs w:val="32"/>
          <w:lang w:val="en-US" w:eastAsia="zh-CN"/>
        </w:rPr>
        <w:t>28.98</w:t>
      </w:r>
      <w:r>
        <w:rPr>
          <w:rFonts w:hint="eastAsia" w:ascii="仿宋_GB2312" w:hAnsi="仿宋" w:cs="Times New Roman"/>
          <w:szCs w:val="32"/>
        </w:rPr>
        <w:t>万元，其中：人员经费</w:t>
      </w:r>
      <w:r>
        <w:rPr>
          <w:rFonts w:hint="eastAsia" w:ascii="仿宋_GB2312" w:hAnsi="仿宋" w:cs="Times New Roman"/>
          <w:szCs w:val="32"/>
          <w:lang w:val="en-US" w:eastAsia="zh-CN"/>
        </w:rPr>
        <w:t>28.98</w:t>
      </w:r>
      <w:r>
        <w:rPr>
          <w:rFonts w:hint="eastAsia" w:ascii="仿宋_GB2312" w:hAnsi="仿宋" w:cs="Times New Roman"/>
          <w:szCs w:val="32"/>
        </w:rPr>
        <w:t>万元，主要包括:基本工资</w:t>
      </w:r>
      <w:r>
        <w:rPr>
          <w:rFonts w:hint="eastAsia" w:ascii="仿宋_GB2312" w:hAnsi="仿宋" w:cs="Times New Roman"/>
          <w:szCs w:val="32"/>
          <w:lang w:val="en-US" w:eastAsia="zh-CN"/>
        </w:rPr>
        <w:t>12.45万元</w:t>
      </w:r>
      <w:r>
        <w:rPr>
          <w:rFonts w:hint="eastAsia" w:ascii="仿宋_GB2312" w:hAnsi="仿宋" w:cs="Times New Roman"/>
          <w:szCs w:val="32"/>
        </w:rPr>
        <w:t>、津贴补贴</w:t>
      </w:r>
      <w:r>
        <w:rPr>
          <w:rFonts w:hint="eastAsia" w:ascii="仿宋_GB2312" w:hAnsi="仿宋" w:cs="Times New Roman"/>
          <w:szCs w:val="32"/>
          <w:lang w:val="en-US" w:eastAsia="zh-CN"/>
        </w:rPr>
        <w:t>4万元</w:t>
      </w:r>
      <w:r>
        <w:rPr>
          <w:rFonts w:hint="eastAsia" w:ascii="仿宋_GB2312" w:hAnsi="仿宋" w:cs="Times New Roman"/>
          <w:szCs w:val="32"/>
        </w:rPr>
        <w:t>、机关事业单位基本养老保险</w:t>
      </w:r>
      <w:r>
        <w:rPr>
          <w:rFonts w:hint="eastAsia" w:ascii="仿宋_GB2312" w:hAnsi="仿宋" w:cs="Times New Roman"/>
          <w:szCs w:val="32"/>
          <w:lang w:eastAsia="zh-CN"/>
        </w:rPr>
        <w:t>缴</w:t>
      </w:r>
      <w:r>
        <w:rPr>
          <w:rFonts w:hint="eastAsia" w:ascii="仿宋_GB2312" w:hAnsi="仿宋" w:cs="Times New Roman"/>
          <w:szCs w:val="32"/>
        </w:rPr>
        <w:t>费</w:t>
      </w:r>
      <w:r>
        <w:rPr>
          <w:rFonts w:hint="eastAsia" w:ascii="仿宋_GB2312" w:hAnsi="仿宋" w:cs="Times New Roman"/>
          <w:szCs w:val="32"/>
          <w:lang w:val="en-US" w:eastAsia="zh-CN"/>
        </w:rPr>
        <w:t>1.96万元</w:t>
      </w:r>
      <w:r>
        <w:rPr>
          <w:rFonts w:hint="eastAsia" w:ascii="仿宋_GB2312" w:hAnsi="仿宋" w:cs="Times New Roman"/>
          <w:szCs w:val="32"/>
        </w:rPr>
        <w:t>、职业年金缴费</w:t>
      </w:r>
      <w:r>
        <w:rPr>
          <w:rFonts w:hint="eastAsia" w:ascii="仿宋_GB2312" w:hAnsi="仿宋" w:cs="Times New Roman"/>
          <w:szCs w:val="32"/>
          <w:lang w:val="en-US" w:eastAsia="zh-CN"/>
        </w:rPr>
        <w:t>0.98万元</w:t>
      </w:r>
      <w:r>
        <w:rPr>
          <w:rFonts w:hint="eastAsia" w:ascii="仿宋_GB2312" w:hAnsi="仿宋" w:cs="Times New Roman"/>
          <w:szCs w:val="32"/>
        </w:rPr>
        <w:t>、职工基本医疗保险缴费</w:t>
      </w:r>
      <w:r>
        <w:rPr>
          <w:rFonts w:hint="eastAsia" w:ascii="仿宋_GB2312" w:hAnsi="仿宋" w:cs="Times New Roman"/>
          <w:szCs w:val="32"/>
          <w:lang w:val="en-US" w:eastAsia="zh-CN"/>
        </w:rPr>
        <w:t>0.59万元</w:t>
      </w:r>
      <w:r>
        <w:rPr>
          <w:rFonts w:hint="eastAsia" w:ascii="仿宋_GB2312" w:hAnsi="仿宋" w:cs="Times New Roman"/>
          <w:szCs w:val="32"/>
        </w:rPr>
        <w:t>、退休费</w:t>
      </w:r>
      <w:r>
        <w:rPr>
          <w:rFonts w:hint="eastAsia" w:ascii="仿宋_GB2312" w:hAnsi="仿宋" w:cs="Times New Roman"/>
          <w:szCs w:val="32"/>
          <w:lang w:val="en-US" w:eastAsia="zh-CN"/>
        </w:rPr>
        <w:t>0.34万元</w:t>
      </w:r>
      <w:r>
        <w:rPr>
          <w:rFonts w:hint="eastAsia" w:ascii="仿宋_GB2312" w:hAnsi="仿宋" w:cs="Times New Roman"/>
          <w:szCs w:val="32"/>
        </w:rPr>
        <w:t>、生活补助</w:t>
      </w:r>
      <w:r>
        <w:rPr>
          <w:rFonts w:hint="eastAsia" w:ascii="仿宋_GB2312" w:hAnsi="仿宋" w:cs="Times New Roman"/>
          <w:szCs w:val="32"/>
          <w:lang w:val="en-US" w:eastAsia="zh-CN"/>
        </w:rPr>
        <w:t>7.58万元。</w:t>
      </w:r>
    </w:p>
    <w:p>
      <w:pPr>
        <w:ind w:firstLine="640" w:firstLineChars="200"/>
        <w:rPr>
          <w:rFonts w:hint="eastAsia" w:ascii="黑体" w:hAnsi="黑体" w:eastAsia="黑体"/>
          <w:szCs w:val="32"/>
          <w:highlight w:val="none"/>
        </w:rPr>
      </w:pPr>
      <w:r>
        <w:rPr>
          <w:rFonts w:hint="eastAsia" w:ascii="黑体" w:hAnsi="仿宋" w:eastAsia="黑体"/>
          <w:szCs w:val="32"/>
          <w:highlight w:val="none"/>
        </w:rPr>
        <w:t>七、</w:t>
      </w:r>
      <w:r>
        <w:rPr>
          <w:rFonts w:hint="eastAsia" w:ascii="黑体" w:hAnsi="黑体" w:eastAsia="黑体"/>
          <w:szCs w:val="32"/>
          <w:highlight w:val="none"/>
        </w:rPr>
        <w:t>政府性基金财政拨款收入支出决算情况说明</w:t>
      </w:r>
    </w:p>
    <w:p>
      <w:pPr>
        <w:ind w:firstLine="640" w:firstLineChars="200"/>
        <w:rPr>
          <w:rFonts w:hint="eastAsia" w:ascii="仿宋_GB2312" w:hAnsi="仿宋" w:eastAsia="仿宋_GB2312"/>
          <w:szCs w:val="32"/>
          <w:lang w:eastAsia="zh-CN"/>
        </w:rPr>
      </w:pPr>
      <w:r>
        <w:rPr>
          <w:rFonts w:hint="eastAsia" w:ascii="仿宋_GB2312" w:hAnsi="仿宋"/>
          <w:szCs w:val="32"/>
          <w:lang w:eastAsia="zh-CN"/>
        </w:rPr>
        <w:t>蚌埠市科技培训中心</w:t>
      </w:r>
      <w:r>
        <w:rPr>
          <w:rFonts w:hint="eastAsia" w:ascii="仿宋_GB2312" w:hAnsi="仿宋"/>
          <w:szCs w:val="32"/>
          <w:lang w:val="en-US" w:eastAsia="zh-CN"/>
        </w:rPr>
        <w:t>2020年度</w:t>
      </w:r>
      <w:r>
        <w:rPr>
          <w:rFonts w:hint="eastAsia" w:ascii="仿宋_GB2312" w:hAnsi="仿宋"/>
          <w:szCs w:val="32"/>
        </w:rPr>
        <w:t>没有政府性基金收入，也没有使用政府性基金安排的支出</w:t>
      </w:r>
      <w:r>
        <w:rPr>
          <w:rFonts w:hint="eastAsia" w:ascii="仿宋_GB2312" w:hAnsi="仿宋"/>
          <w:szCs w:val="32"/>
          <w:lang w:eastAsia="zh-CN"/>
        </w:rPr>
        <w:t>。</w:t>
      </w:r>
    </w:p>
    <w:p>
      <w:pPr>
        <w:ind w:firstLine="640" w:firstLineChars="200"/>
        <w:rPr>
          <w:rFonts w:hint="eastAsia" w:ascii="黑体" w:hAnsi="黑体" w:eastAsia="黑体"/>
          <w:szCs w:val="32"/>
        </w:rPr>
      </w:pPr>
      <w:r>
        <w:rPr>
          <w:rFonts w:hint="eastAsia" w:ascii="黑体" w:hAnsi="黑体" w:eastAsia="黑体"/>
          <w:szCs w:val="32"/>
        </w:rPr>
        <w:t>八、国有资本经营预算财政拨款支出情况说明</w:t>
      </w:r>
    </w:p>
    <w:p>
      <w:pPr>
        <w:ind w:firstLine="640" w:firstLineChars="200"/>
        <w:rPr>
          <w:rFonts w:hint="eastAsia" w:ascii="仿宋_GB2312" w:hAnsi="仿宋"/>
          <w:szCs w:val="32"/>
          <w:lang w:val="en-US" w:eastAsia="zh-CN"/>
        </w:rPr>
      </w:pPr>
      <w:r>
        <w:rPr>
          <w:rFonts w:hint="eastAsia" w:ascii="仿宋_GB2312" w:hAnsi="仿宋"/>
          <w:szCs w:val="32"/>
          <w:lang w:val="en-US" w:eastAsia="zh-CN"/>
        </w:rPr>
        <w:t>蚌埠市科技培训中心2020年度没有使用国有资本经营预算财政拨款安排的支出。</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（一）机关运行经费支出情况。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lang w:eastAsia="zh-CN"/>
        </w:rPr>
        <w:t>蚌埠市科技培训中心为</w:t>
      </w:r>
      <w:r>
        <w:rPr>
          <w:rFonts w:hint="eastAsia" w:ascii="仿宋_GB2312" w:hAnsi="仿宋"/>
          <w:szCs w:val="32"/>
          <w:lang w:val="en-US" w:eastAsia="zh-CN"/>
        </w:rPr>
        <w:t>事业单位，按照财政部部门决算机关运行经费的口径，本年度机关运行经费为0元。</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（二）政府采购支出情况。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2020年度，</w:t>
      </w:r>
      <w:r>
        <w:rPr>
          <w:rFonts w:hint="eastAsia" w:ascii="仿宋_GB2312" w:hAnsi="仿宋"/>
          <w:szCs w:val="32"/>
          <w:lang w:eastAsia="zh-CN"/>
        </w:rPr>
        <w:t>蚌埠市科技培训中心</w:t>
      </w:r>
      <w:r>
        <w:rPr>
          <w:rFonts w:hint="eastAsia" w:ascii="仿宋_GB2312" w:hAnsi="仿宋"/>
          <w:szCs w:val="32"/>
        </w:rPr>
        <w:t>政府采购支出总额</w:t>
      </w:r>
      <w:r>
        <w:rPr>
          <w:rFonts w:hint="eastAsia" w:ascii="仿宋_GB2312" w:hAnsi="仿宋"/>
          <w:szCs w:val="32"/>
          <w:lang w:val="en-US" w:eastAsia="zh-CN"/>
        </w:rPr>
        <w:t>0</w:t>
      </w:r>
      <w:r>
        <w:rPr>
          <w:rFonts w:hint="eastAsia" w:ascii="仿宋_GB2312" w:hAnsi="仿宋"/>
          <w:szCs w:val="32"/>
        </w:rPr>
        <w:t>万元，其中：政府采购货物支出</w:t>
      </w:r>
      <w:r>
        <w:rPr>
          <w:rFonts w:hint="eastAsia" w:ascii="仿宋_GB2312" w:hAnsi="仿宋"/>
          <w:szCs w:val="32"/>
          <w:lang w:val="en-US" w:eastAsia="zh-CN"/>
        </w:rPr>
        <w:t>0</w:t>
      </w:r>
      <w:r>
        <w:rPr>
          <w:rFonts w:hint="eastAsia" w:ascii="仿宋_GB2312" w:hAnsi="仿宋"/>
          <w:szCs w:val="32"/>
        </w:rPr>
        <w:t>万元</w:t>
      </w:r>
      <w:r>
        <w:rPr>
          <w:rFonts w:hint="eastAsia" w:ascii="仿宋_GB2312" w:hAnsi="仿宋"/>
          <w:color w:val="auto"/>
          <w:szCs w:val="32"/>
        </w:rPr>
        <w:t>、</w:t>
      </w:r>
      <w:r>
        <w:rPr>
          <w:rFonts w:hint="eastAsia" w:ascii="仿宋_GB2312" w:hAnsi="仿宋"/>
          <w:szCs w:val="32"/>
        </w:rPr>
        <w:t>政府采购工程支出</w:t>
      </w:r>
      <w:r>
        <w:rPr>
          <w:rFonts w:hint="eastAsia" w:ascii="仿宋_GB2312" w:hAnsi="仿宋"/>
          <w:szCs w:val="32"/>
          <w:lang w:val="en-US" w:eastAsia="zh-CN"/>
        </w:rPr>
        <w:t>0</w:t>
      </w:r>
      <w:r>
        <w:rPr>
          <w:rFonts w:hint="eastAsia" w:ascii="仿宋_GB2312" w:hAnsi="仿宋"/>
          <w:szCs w:val="32"/>
        </w:rPr>
        <w:t>万元、政府采购服务支出</w:t>
      </w:r>
      <w:r>
        <w:rPr>
          <w:rFonts w:hint="eastAsia" w:ascii="仿宋_GB2312" w:hAnsi="仿宋"/>
          <w:szCs w:val="32"/>
          <w:lang w:val="en-US" w:eastAsia="zh-CN"/>
        </w:rPr>
        <w:t>0</w:t>
      </w:r>
      <w:r>
        <w:rPr>
          <w:rFonts w:hint="eastAsia" w:ascii="仿宋_GB2312" w:hAnsi="仿宋"/>
          <w:szCs w:val="32"/>
        </w:rPr>
        <w:t>万元。授予中小企业合同金额</w:t>
      </w:r>
      <w:r>
        <w:rPr>
          <w:rFonts w:hint="eastAsia" w:ascii="仿宋_GB2312" w:hAnsi="仿宋"/>
          <w:szCs w:val="32"/>
          <w:lang w:val="en-US" w:eastAsia="zh-CN"/>
        </w:rPr>
        <w:t>0</w:t>
      </w:r>
      <w:r>
        <w:rPr>
          <w:rFonts w:hint="eastAsia" w:ascii="仿宋_GB2312" w:hAnsi="仿宋"/>
          <w:szCs w:val="32"/>
        </w:rPr>
        <w:t>万元，占政府采购支出总额的</w:t>
      </w:r>
      <w:r>
        <w:rPr>
          <w:rFonts w:hint="eastAsia" w:ascii="仿宋_GB2312" w:hAnsi="仿宋"/>
          <w:szCs w:val="32"/>
          <w:lang w:val="en-US" w:eastAsia="zh-CN"/>
        </w:rPr>
        <w:t>0</w:t>
      </w:r>
      <w:r>
        <w:rPr>
          <w:rFonts w:hint="eastAsia" w:ascii="仿宋_GB2312" w:hAnsi="仿宋"/>
          <w:szCs w:val="32"/>
        </w:rPr>
        <w:t>%，其中：授予小微企业合同金额</w:t>
      </w:r>
      <w:r>
        <w:rPr>
          <w:rFonts w:hint="eastAsia" w:ascii="仿宋_GB2312" w:hAnsi="仿宋"/>
          <w:szCs w:val="32"/>
          <w:lang w:val="en-US" w:eastAsia="zh-CN"/>
        </w:rPr>
        <w:t>0</w:t>
      </w:r>
      <w:r>
        <w:rPr>
          <w:rFonts w:hint="eastAsia" w:ascii="仿宋_GB2312" w:hAnsi="仿宋"/>
          <w:szCs w:val="32"/>
        </w:rPr>
        <w:t>万元，占政府采购支出总额的</w:t>
      </w:r>
      <w:r>
        <w:rPr>
          <w:rFonts w:hint="eastAsia" w:ascii="仿宋_GB2312" w:hAnsi="仿宋"/>
          <w:szCs w:val="32"/>
          <w:lang w:val="en-US" w:eastAsia="zh-CN"/>
        </w:rPr>
        <w:t>0</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（三）国有资产占有使用情况。</w:t>
      </w:r>
    </w:p>
    <w:p>
      <w:pPr>
        <w:adjustRightInd w:val="0"/>
        <w:snapToGrid w:val="0"/>
        <w:spacing w:line="600" w:lineRule="exact"/>
        <w:ind w:firstLine="640" w:firstLineChars="200"/>
        <w:rPr>
          <w:rFonts w:hint="eastAsia" w:ascii="仿宋_GB2312" w:hAnsi="仿宋"/>
          <w:szCs w:val="32"/>
        </w:rPr>
      </w:pPr>
      <w:r>
        <w:rPr>
          <w:rFonts w:hint="eastAsia" w:ascii="仿宋_GB2312" w:hAnsi="楷体"/>
          <w:szCs w:val="32"/>
        </w:rPr>
        <w:t>截至2020年12月31日，</w:t>
      </w:r>
      <w:r>
        <w:rPr>
          <w:rFonts w:hint="eastAsia" w:ascii="仿宋_GB2312" w:hAnsi="仿宋"/>
          <w:szCs w:val="32"/>
          <w:lang w:eastAsia="zh-CN"/>
        </w:rPr>
        <w:t>蚌埠市科技培训中心</w:t>
      </w:r>
      <w:r>
        <w:rPr>
          <w:rFonts w:hint="eastAsia" w:ascii="仿宋_GB2312" w:hAnsi="仿宋"/>
          <w:szCs w:val="32"/>
        </w:rPr>
        <w:t>共有车辆</w:t>
      </w:r>
      <w:r>
        <w:rPr>
          <w:rFonts w:hint="eastAsia" w:ascii="仿宋_GB2312" w:hAnsi="仿宋"/>
          <w:szCs w:val="32"/>
          <w:lang w:val="en-US" w:eastAsia="zh-CN"/>
        </w:rPr>
        <w:t>0</w:t>
      </w:r>
      <w:r>
        <w:rPr>
          <w:rFonts w:hint="eastAsia" w:ascii="仿宋_GB2312" w:hAnsi="仿宋"/>
          <w:szCs w:val="32"/>
        </w:rPr>
        <w:t>辆，其中：副部（省）级及以上领导用车</w:t>
      </w:r>
      <w:r>
        <w:rPr>
          <w:rFonts w:hint="eastAsia" w:ascii="仿宋_GB2312" w:hAnsi="仿宋"/>
          <w:szCs w:val="32"/>
          <w:lang w:val="en-US" w:eastAsia="zh-CN"/>
        </w:rPr>
        <w:t>0</w:t>
      </w:r>
      <w:r>
        <w:rPr>
          <w:rFonts w:hint="eastAsia" w:ascii="仿宋_GB2312" w:hAnsi="仿宋"/>
          <w:szCs w:val="32"/>
        </w:rPr>
        <w:t>辆、主要领导干部用车</w:t>
      </w:r>
      <w:r>
        <w:rPr>
          <w:rFonts w:hint="eastAsia" w:ascii="仿宋_GB2312" w:hAnsi="仿宋"/>
          <w:szCs w:val="32"/>
          <w:lang w:val="en-US" w:eastAsia="zh-CN"/>
        </w:rPr>
        <w:t>0</w:t>
      </w:r>
      <w:r>
        <w:rPr>
          <w:rFonts w:hint="eastAsia" w:ascii="仿宋_GB2312" w:hAnsi="仿宋"/>
          <w:szCs w:val="32"/>
        </w:rPr>
        <w:t>辆、机要通信用车</w:t>
      </w:r>
      <w:r>
        <w:rPr>
          <w:rFonts w:hint="eastAsia" w:ascii="仿宋_GB2312" w:hAnsi="仿宋"/>
          <w:szCs w:val="32"/>
          <w:lang w:val="en-US" w:eastAsia="zh-CN"/>
        </w:rPr>
        <w:t>0</w:t>
      </w:r>
      <w:r>
        <w:rPr>
          <w:rFonts w:hint="eastAsia" w:ascii="仿宋_GB2312" w:hAnsi="仿宋"/>
          <w:szCs w:val="32"/>
        </w:rPr>
        <w:t>辆、应急保障用车</w:t>
      </w:r>
      <w:r>
        <w:rPr>
          <w:rFonts w:hint="eastAsia" w:ascii="仿宋_GB2312" w:hAnsi="仿宋"/>
          <w:szCs w:val="32"/>
          <w:lang w:val="en-US" w:eastAsia="zh-CN"/>
        </w:rPr>
        <w:t>0</w:t>
      </w:r>
      <w:r>
        <w:rPr>
          <w:rFonts w:hint="eastAsia" w:ascii="仿宋_GB2312" w:hAnsi="仿宋"/>
          <w:szCs w:val="32"/>
        </w:rPr>
        <w:t>辆</w:t>
      </w:r>
      <w:r>
        <w:rPr>
          <w:rFonts w:hint="eastAsia" w:ascii="仿宋_GB2312" w:hAnsi="仿宋"/>
          <w:szCs w:val="32"/>
          <w:lang w:eastAsia="zh-CN"/>
        </w:rPr>
        <w:t>、执法执勤用车</w:t>
      </w:r>
      <w:r>
        <w:rPr>
          <w:rFonts w:hint="eastAsia" w:ascii="仿宋_GB2312" w:hAnsi="仿宋"/>
          <w:szCs w:val="32"/>
          <w:lang w:val="en-US" w:eastAsia="zh-CN"/>
        </w:rPr>
        <w:t>0辆、</w:t>
      </w:r>
      <w:r>
        <w:rPr>
          <w:rFonts w:hint="eastAsia" w:ascii="仿宋_GB2312" w:hAnsi="仿宋"/>
          <w:szCs w:val="32"/>
        </w:rPr>
        <w:t>特种专业技术用车</w:t>
      </w:r>
      <w:r>
        <w:rPr>
          <w:rFonts w:hint="eastAsia" w:ascii="仿宋_GB2312" w:hAnsi="仿宋"/>
          <w:szCs w:val="32"/>
          <w:lang w:val="en-US" w:eastAsia="zh-CN"/>
        </w:rPr>
        <w:t>0</w:t>
      </w:r>
      <w:r>
        <w:rPr>
          <w:rFonts w:hint="eastAsia" w:ascii="仿宋_GB2312" w:hAnsi="仿宋"/>
          <w:szCs w:val="32"/>
        </w:rPr>
        <w:t>辆，离退休干部用车</w:t>
      </w:r>
      <w:r>
        <w:rPr>
          <w:rFonts w:hint="eastAsia" w:ascii="仿宋_GB2312" w:hAnsi="仿宋"/>
          <w:szCs w:val="32"/>
          <w:lang w:val="en-US" w:eastAsia="zh-CN"/>
        </w:rPr>
        <w:t>0</w:t>
      </w:r>
      <w:r>
        <w:rPr>
          <w:rFonts w:hint="eastAsia" w:ascii="仿宋_GB2312" w:hAnsi="仿宋"/>
          <w:szCs w:val="32"/>
        </w:rPr>
        <w:t>辆，其他用车</w:t>
      </w:r>
      <w:r>
        <w:rPr>
          <w:rFonts w:hint="eastAsia" w:ascii="仿宋_GB2312" w:hAnsi="仿宋"/>
          <w:szCs w:val="32"/>
          <w:lang w:val="en-US" w:eastAsia="zh-CN"/>
        </w:rPr>
        <w:t>0</w:t>
      </w:r>
      <w:r>
        <w:rPr>
          <w:rFonts w:hint="eastAsia" w:ascii="仿宋_GB2312" w:hAnsi="仿宋"/>
          <w:szCs w:val="32"/>
        </w:rPr>
        <w:t>辆；单价50万元以上的通用设备</w:t>
      </w:r>
      <w:r>
        <w:rPr>
          <w:rFonts w:hint="eastAsia" w:ascii="仿宋_GB2312" w:hAnsi="仿宋"/>
          <w:szCs w:val="32"/>
          <w:lang w:val="en-US" w:eastAsia="zh-CN"/>
        </w:rPr>
        <w:t>0</w:t>
      </w:r>
      <w:r>
        <w:rPr>
          <w:rFonts w:hint="eastAsia" w:ascii="仿宋_GB2312" w:hAnsi="仿宋"/>
          <w:szCs w:val="32"/>
        </w:rPr>
        <w:t>台（套），单价100万</w:t>
      </w:r>
      <w:r>
        <w:rPr>
          <w:rFonts w:hint="eastAsia" w:ascii="仿宋_GB2312" w:hAnsi="仿宋"/>
          <w:color w:val="auto"/>
          <w:szCs w:val="32"/>
        </w:rPr>
        <w:t>元</w:t>
      </w:r>
      <w:r>
        <w:rPr>
          <w:rFonts w:hint="eastAsia" w:ascii="仿宋_GB2312" w:hAnsi="仿宋"/>
          <w:szCs w:val="32"/>
        </w:rPr>
        <w:t>以上专用设备</w:t>
      </w:r>
      <w:r>
        <w:rPr>
          <w:rFonts w:hint="eastAsia" w:ascii="仿宋_GB2312" w:hAnsi="仿宋"/>
          <w:szCs w:val="32"/>
          <w:lang w:val="en-US" w:eastAsia="zh-CN"/>
        </w:rPr>
        <w:t>0</w:t>
      </w:r>
      <w:r>
        <w:rPr>
          <w:rFonts w:hint="eastAsia" w:ascii="仿宋_GB2312" w:hAnsi="仿宋"/>
          <w:szCs w:val="32"/>
        </w:rPr>
        <w:t>台（套）。</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（四）关于2020年度预算绩效情况说明</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
          <w:b/>
          <w:szCs w:val="32"/>
        </w:rPr>
        <w:t>1</w:t>
      </w:r>
      <w:r>
        <w:rPr>
          <w:rFonts w:hint="default" w:ascii="仿宋_GB2312" w:hAnsi="仿宋"/>
          <w:b/>
          <w:szCs w:val="32"/>
          <w:lang w:val="en-US"/>
        </w:rPr>
        <w:t>.</w:t>
      </w:r>
      <w:r>
        <w:rPr>
          <w:rFonts w:hint="eastAsia" w:ascii="仿宋_GB2312" w:hAnsi="仿宋_GB2312" w:eastAsia="仿宋_GB2312" w:cs="仿宋_GB2312"/>
          <w:b/>
          <w:bCs/>
          <w:sz w:val="32"/>
          <w:szCs w:val="32"/>
        </w:rPr>
        <w:t>预算绩效管理工作开展情况。</w:t>
      </w:r>
    </w:p>
    <w:p>
      <w:pPr>
        <w:numPr>
          <w:ilvl w:val="0"/>
          <w:numId w:val="0"/>
        </w:numPr>
        <w:spacing w:line="560" w:lineRule="exact"/>
        <w:ind w:firstLine="640" w:firstLineChars="200"/>
        <w:rPr>
          <w:rFonts w:hint="eastAsia" w:ascii="仿宋_GB2312" w:hAnsi="仿宋"/>
          <w:szCs w:val="32"/>
          <w:lang w:val="en-US" w:eastAsia="zh-CN"/>
        </w:rPr>
      </w:pPr>
      <w:r>
        <w:rPr>
          <w:rFonts w:hint="eastAsia" w:ascii="仿宋_GB2312" w:hAnsi="仿宋"/>
          <w:szCs w:val="32"/>
          <w:lang w:val="en-US" w:eastAsia="zh-CN"/>
        </w:rPr>
        <w:t>根据预算绩效管理要求，我单位对2020年度纳入单位预算的项目支出全面开展了绩效自评，共0个项目，涉及资金0万元，占项目预算总额的0%。</w:t>
      </w:r>
    </w:p>
    <w:p>
      <w:pPr>
        <w:adjustRightInd w:val="0"/>
        <w:snapToGrid w:val="0"/>
        <w:spacing w:line="600" w:lineRule="exact"/>
        <w:ind w:firstLine="640" w:firstLineChars="200"/>
        <w:rPr>
          <w:rFonts w:hint="eastAsia" w:ascii="黑体" w:hAnsi="黑体" w:eastAsia="黑体"/>
          <w:szCs w:val="32"/>
        </w:rPr>
      </w:pPr>
      <w:bookmarkStart w:id="0" w:name="_GoBack"/>
      <w:bookmarkEnd w:id="0"/>
      <w:r>
        <w:rPr>
          <w:rFonts w:hint="eastAsia" w:ascii="黑体" w:hAnsi="黑体" w:eastAsia="黑体"/>
          <w:szCs w:val="32"/>
        </w:rPr>
        <w:t>第四部分 名词解释</w:t>
      </w:r>
    </w:p>
    <w:p>
      <w:pPr>
        <w:adjustRightInd w:val="0"/>
        <w:snapToGrid w:val="0"/>
        <w:spacing w:line="600" w:lineRule="exact"/>
        <w:ind w:left="425" w:firstLine="206" w:firstLineChars="64"/>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adjustRightInd w:val="0"/>
        <w:snapToGrid w:val="0"/>
        <w:spacing w:line="600" w:lineRule="exact"/>
        <w:ind w:firstLine="643" w:firstLineChars="200"/>
        <w:rPr>
          <w:rFonts w:hint="eastAsia" w:ascii="仿宋_GB2312" w:hAnsi="仿宋"/>
          <w:szCs w:val="32"/>
        </w:rPr>
      </w:pPr>
      <w:r>
        <w:rPr>
          <w:rFonts w:hint="eastAsia" w:ascii="仿宋_GB2312" w:hAnsi="仿宋"/>
          <w:b/>
          <w:bCs/>
          <w:szCs w:val="32"/>
        </w:rPr>
        <w:t>二、事业收入：</w:t>
      </w:r>
      <w:r>
        <w:rPr>
          <w:rFonts w:hint="eastAsia" w:ascii="仿宋_GB2312" w:hAnsi="仿宋"/>
          <w:szCs w:val="32"/>
        </w:rPr>
        <w:t>指事业单位开展专业业务活动及辅助活动所取得的收入。</w:t>
      </w:r>
    </w:p>
    <w:p>
      <w:pPr>
        <w:pStyle w:val="2"/>
        <w:adjustRightInd w:val="0"/>
        <w:snapToGrid w:val="0"/>
        <w:spacing w:line="600" w:lineRule="exact"/>
        <w:ind w:firstLine="630" w:firstLineChars="196"/>
        <w:rPr>
          <w:rFonts w:ascii="仿宋_GB2312" w:hAnsi="黑体"/>
          <w:b/>
          <w:bCs/>
          <w:szCs w:val="32"/>
        </w:rPr>
      </w:pPr>
      <w:r>
        <w:rPr>
          <w:rFonts w:hint="eastAsia" w:ascii="仿宋_GB2312" w:hAnsi="黑体" w:eastAsia="仿宋_GB2312"/>
          <w:b/>
          <w:sz w:val="32"/>
          <w:szCs w:val="32"/>
        </w:rPr>
        <w:t>三、</w:t>
      </w:r>
      <w:r>
        <w:rPr>
          <w:rFonts w:hint="eastAsia" w:ascii="仿宋_GB2312" w:hAnsi="黑体" w:eastAsia="仿宋_GB2312"/>
          <w:b/>
          <w:bCs/>
          <w:sz w:val="32"/>
          <w:szCs w:val="32"/>
        </w:rPr>
        <w:t>上级补助收入：</w:t>
      </w:r>
      <w:r>
        <w:rPr>
          <w:rFonts w:hint="eastAsia" w:ascii="仿宋_GB2312" w:hAnsi="黑体" w:eastAsia="仿宋_GB2312"/>
          <w:bCs/>
          <w:sz w:val="32"/>
          <w:szCs w:val="32"/>
        </w:rPr>
        <w:t>指</w:t>
      </w:r>
      <w:r>
        <w:rPr>
          <w:rFonts w:hint="eastAsia" w:ascii="仿宋_GB2312" w:hAnsi="仿宋" w:eastAsia="仿宋_GB2312" w:cs="Times New Roman"/>
          <w:kern w:val="2"/>
          <w:sz w:val="32"/>
          <w:szCs w:val="32"/>
        </w:rPr>
        <w:t>事业单位从主管部门和上级单位取得的非财政补助收入。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四、附属单位上缴收入：</w:t>
      </w:r>
      <w:r>
        <w:rPr>
          <w:rFonts w:hint="eastAsia" w:ascii="仿宋_GB2312" w:hAnsi="黑体" w:eastAsia="仿宋_GB2312"/>
          <w:bCs/>
          <w:sz w:val="32"/>
          <w:szCs w:val="32"/>
        </w:rPr>
        <w:t>指事业单位附属独立核算单位按照有关规定上缴的收入。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五、经营收入</w:t>
      </w:r>
      <w:r>
        <w:rPr>
          <w:rFonts w:hint="eastAsia"/>
          <w:b/>
          <w:bCs/>
          <w:color w:val="383535"/>
        </w:rPr>
        <w:t>：</w:t>
      </w:r>
      <w:r>
        <w:rPr>
          <w:rFonts w:hint="eastAsia" w:ascii="仿宋_GB2312" w:hAnsi="黑体" w:eastAsia="仿宋_GB2312"/>
          <w:bCs/>
          <w:sz w:val="32"/>
          <w:szCs w:val="32"/>
        </w:rPr>
        <w:t>指事业单位在专业业务活动及其辅助活动之外开展非独立核算经营活动取得的收入。</w:t>
      </w:r>
    </w:p>
    <w:p>
      <w:pPr>
        <w:pStyle w:val="2"/>
        <w:adjustRightInd w:val="0"/>
        <w:snapToGrid w:val="0"/>
        <w:spacing w:line="600" w:lineRule="exact"/>
        <w:ind w:firstLine="630" w:firstLineChars="196"/>
        <w:rPr>
          <w:rFonts w:hint="eastAsia" w:ascii="仿宋_GB2312" w:hAnsi="黑体"/>
          <w:b/>
          <w:bCs/>
          <w:szCs w:val="32"/>
        </w:rPr>
      </w:pPr>
      <w:r>
        <w:rPr>
          <w:rFonts w:hint="eastAsia" w:ascii="仿宋_GB2312" w:hAnsi="黑体" w:eastAsia="仿宋_GB2312"/>
          <w:b/>
          <w:sz w:val="32"/>
          <w:szCs w:val="32"/>
        </w:rPr>
        <w:t>六、</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r>
        <w:rPr>
          <w:rFonts w:hint="eastAsia" w:ascii="仿宋_GB2312" w:hAnsi="黑体" w:eastAsia="仿宋_GB2312"/>
          <w:bCs/>
          <w:color w:val="auto"/>
          <w:sz w:val="32"/>
          <w:szCs w:val="32"/>
        </w:rPr>
        <w:t>。</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lang w:eastAsia="zh-CN"/>
        </w:rPr>
      </w:pPr>
      <w:r>
        <w:rPr>
          <w:rFonts w:hint="eastAsia" w:ascii="仿宋_GB2312" w:hAnsi="黑体" w:eastAsia="仿宋_GB2312"/>
          <w:b/>
          <w:bCs/>
          <w:sz w:val="32"/>
          <w:szCs w:val="32"/>
          <w:lang w:eastAsia="zh-CN"/>
        </w:rPr>
        <w:t>七、使用非财政拨款结余：</w:t>
      </w:r>
      <w:r>
        <w:rPr>
          <w:rFonts w:hint="eastAsia" w:ascii="仿宋_GB2312" w:hAnsi="黑体" w:eastAsia="仿宋_GB2312"/>
          <w:bCs/>
          <w:sz w:val="32"/>
          <w:szCs w:val="32"/>
          <w:lang w:eastAsia="zh-CN"/>
        </w:rPr>
        <w:t>指事业单位使用以前年度积累的非财政拨款结余弥补当年收支差额的金额。</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八</w:t>
      </w:r>
      <w:r>
        <w:rPr>
          <w:rFonts w:hint="eastAsia" w:ascii="仿宋_GB2312" w:hAnsi="黑体" w:eastAsia="仿宋_GB2312"/>
          <w:b/>
          <w:bCs/>
          <w:sz w:val="32"/>
          <w:szCs w:val="32"/>
        </w:rPr>
        <w:t>、年初结转和结余：</w:t>
      </w:r>
      <w:r>
        <w:rPr>
          <w:rFonts w:hint="eastAsia" w:ascii="仿宋_GB2312" w:hAnsi="黑体" w:eastAsia="仿宋_GB2312"/>
          <w:bCs/>
          <w:sz w:val="32"/>
          <w:szCs w:val="32"/>
        </w:rPr>
        <w:t>指以前年度安排、结转到本年仍按原规定用途继续使用的资金。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九</w:t>
      </w:r>
      <w:r>
        <w:rPr>
          <w:rFonts w:hint="eastAsia" w:ascii="仿宋_GB2312" w:hAnsi="黑体" w:eastAsia="仿宋_GB2312"/>
          <w:b/>
          <w:bCs/>
          <w:sz w:val="32"/>
          <w:szCs w:val="32"/>
        </w:rPr>
        <w:t>、结余分配：</w:t>
      </w:r>
      <w:r>
        <w:rPr>
          <w:rFonts w:hint="eastAsia" w:ascii="仿宋_GB2312" w:hAnsi="黑体" w:eastAsia="仿宋_GB2312"/>
          <w:bCs/>
          <w:sz w:val="32"/>
          <w:szCs w:val="32"/>
        </w:rPr>
        <w:t>指事业单位按照会计制度规定缴纳的所得税以及从非财政拨款结余中提取的职工福利基金、事业基金等。</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
          <w:sz w:val="32"/>
          <w:szCs w:val="32"/>
        </w:rPr>
      </w:pPr>
      <w:r>
        <w:rPr>
          <w:rFonts w:hint="eastAsia" w:ascii="仿宋_GB2312" w:hAnsi="黑体" w:eastAsia="仿宋_GB2312"/>
          <w:b/>
          <w:bCs/>
          <w:sz w:val="32"/>
          <w:szCs w:val="32"/>
          <w:lang w:eastAsia="zh-CN"/>
        </w:rPr>
        <w:t>十</w:t>
      </w:r>
      <w:r>
        <w:rPr>
          <w:rFonts w:hint="eastAsia" w:ascii="仿宋_GB2312" w:hAnsi="黑体" w:eastAsia="仿宋_GB2312"/>
          <w:b/>
          <w:bCs/>
          <w:sz w:val="32"/>
          <w:szCs w:val="32"/>
        </w:rPr>
        <w:t>、年末结转和结余：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一</w:t>
      </w:r>
      <w:r>
        <w:rPr>
          <w:rFonts w:hint="eastAsia" w:ascii="仿宋_GB2312" w:hAnsi="黑体" w:eastAsia="仿宋_GB2312"/>
          <w:b/>
          <w:sz w:val="32"/>
          <w:szCs w:val="32"/>
        </w:rPr>
        <w:t>、基本支出：</w:t>
      </w:r>
      <w:r>
        <w:rPr>
          <w:rFonts w:hint="eastAsia" w:ascii="仿宋_GB2312" w:hAnsi="黑体" w:eastAsia="仿宋_GB2312"/>
          <w:sz w:val="32"/>
          <w:szCs w:val="32"/>
        </w:rPr>
        <w:t>指单位为保障其机构正常运转、完成日常工作任务而发生的人员支出和公用支出。</w:t>
      </w:r>
    </w:p>
    <w:p>
      <w:pPr>
        <w:pStyle w:val="2"/>
        <w:spacing w:before="0" w:beforeAutospacing="0" w:after="0" w:afterAutospacing="0" w:line="600" w:lineRule="exact"/>
        <w:ind w:firstLine="630" w:firstLineChars="196"/>
        <w:jc w:val="both"/>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二</w:t>
      </w:r>
      <w:r>
        <w:rPr>
          <w:rFonts w:hint="eastAsia" w:ascii="仿宋_GB2312" w:hAnsi="黑体" w:eastAsia="仿宋_GB2312"/>
          <w:b/>
          <w:sz w:val="32"/>
          <w:szCs w:val="32"/>
        </w:rPr>
        <w:t>、项目支出：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十</w:t>
      </w:r>
      <w:r>
        <w:rPr>
          <w:rFonts w:hint="eastAsia" w:ascii="仿宋_GB2312" w:hAnsi="黑体" w:eastAsia="仿宋_GB2312"/>
          <w:b/>
          <w:sz w:val="32"/>
          <w:szCs w:val="32"/>
          <w:lang w:eastAsia="zh-CN"/>
        </w:rPr>
        <w:t>三</w:t>
      </w:r>
      <w:r>
        <w:rPr>
          <w:rFonts w:hint="eastAsia" w:ascii="仿宋_GB2312" w:hAnsi="黑体" w:eastAsia="仿宋_GB2312"/>
          <w:b/>
          <w:sz w:val="32"/>
          <w:szCs w:val="32"/>
        </w:rPr>
        <w:t>、经营支出：</w:t>
      </w:r>
      <w:r>
        <w:rPr>
          <w:rFonts w:hint="eastAsia" w:ascii="仿宋_GB2312" w:hAnsi="黑体" w:eastAsia="仿宋_GB2312"/>
          <w:sz w:val="32"/>
          <w:szCs w:val="32"/>
        </w:rPr>
        <w:t>指事业单位在专业业务活动及其辅助活动之外开展非独立核算经营活动发生的支出。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四</w:t>
      </w:r>
      <w:r>
        <w:rPr>
          <w:rFonts w:hint="eastAsia" w:ascii="仿宋_GB2312" w:hAnsi="黑体" w:eastAsia="仿宋_GB2312"/>
          <w:b/>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五</w:t>
      </w:r>
      <w:r>
        <w:rPr>
          <w:rFonts w:hint="eastAsia" w:ascii="仿宋_GB2312" w:hAnsi="黑体" w:eastAsia="仿宋_GB2312"/>
          <w:b/>
          <w:sz w:val="32"/>
          <w:szCs w:val="32"/>
        </w:rPr>
        <w:t>、机关运行经费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adjustRightInd w:val="0"/>
        <w:snapToGrid w:val="0"/>
        <w:spacing w:line="600" w:lineRule="exact"/>
        <w:ind w:firstLine="640" w:firstLineChars="200"/>
        <w:rPr>
          <w:rFonts w:hint="eastAsia" w:ascii="黑体" w:hAnsi="黑体" w:eastAsia="黑体"/>
          <w:szCs w:val="32"/>
        </w:rPr>
      </w:pPr>
    </w:p>
    <w:p>
      <w:pPr>
        <w:numPr>
          <w:ilvl w:val="0"/>
          <w:numId w:val="3"/>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附件</w:t>
      </w:r>
    </w:p>
    <w:p>
      <w:pPr>
        <w:numPr>
          <w:ilvl w:val="0"/>
          <w:numId w:val="0"/>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蚌埠市科技培训中心20</w:t>
      </w:r>
      <w:r>
        <w:rPr>
          <w:rFonts w:hint="eastAsia" w:ascii="黑体" w:hAnsi="黑体" w:eastAsia="黑体"/>
          <w:szCs w:val="32"/>
          <w:lang w:val="en-US" w:eastAsia="zh-CN"/>
        </w:rPr>
        <w:t>20年度单位</w:t>
      </w:r>
      <w:r>
        <w:rPr>
          <w:rFonts w:hint="eastAsia" w:ascii="黑体" w:hAnsi="黑体" w:eastAsia="黑体"/>
          <w:szCs w:val="32"/>
          <w:lang w:eastAsia="zh-CN"/>
        </w:rPr>
        <w:t>决算公开表</w:t>
      </w: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065D"/>
    <w:multiLevelType w:val="singleLevel"/>
    <w:tmpl w:val="85C5065D"/>
    <w:lvl w:ilvl="0" w:tentative="0">
      <w:start w:val="5"/>
      <w:numFmt w:val="chineseCounting"/>
      <w:suff w:val="space"/>
      <w:lvlText w:val="第%1部分"/>
      <w:lvlJc w:val="left"/>
      <w:rPr>
        <w:rFonts w:hint="eastAsia"/>
      </w:rPr>
    </w:lvl>
  </w:abstractNum>
  <w:abstractNum w:abstractNumId="1">
    <w:nsid w:val="36E590F6"/>
    <w:multiLevelType w:val="singleLevel"/>
    <w:tmpl w:val="36E590F6"/>
    <w:lvl w:ilvl="0" w:tentative="0">
      <w:start w:val="2"/>
      <w:numFmt w:val="chineseCounting"/>
      <w:suff w:val="space"/>
      <w:lvlText w:val="第%1部分"/>
      <w:lvlJc w:val="left"/>
      <w:rPr>
        <w:rFonts w:hint="eastAsia"/>
      </w:rPr>
    </w:lvl>
  </w:abstractNum>
  <w:abstractNum w:abstractNumId="2">
    <w:nsid w:val="6287401B"/>
    <w:multiLevelType w:val="singleLevel"/>
    <w:tmpl w:val="6287401B"/>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A0F"/>
    <w:rsid w:val="005A7B7D"/>
    <w:rsid w:val="013B1482"/>
    <w:rsid w:val="01F82729"/>
    <w:rsid w:val="035E1F01"/>
    <w:rsid w:val="03F320E1"/>
    <w:rsid w:val="03FF6885"/>
    <w:rsid w:val="04077330"/>
    <w:rsid w:val="041019D0"/>
    <w:rsid w:val="04391D9D"/>
    <w:rsid w:val="0487435C"/>
    <w:rsid w:val="04A853AD"/>
    <w:rsid w:val="051D4F8C"/>
    <w:rsid w:val="0526325F"/>
    <w:rsid w:val="06431EA7"/>
    <w:rsid w:val="07027C8D"/>
    <w:rsid w:val="076C3A01"/>
    <w:rsid w:val="07D90D5D"/>
    <w:rsid w:val="085A0AC5"/>
    <w:rsid w:val="08AE1496"/>
    <w:rsid w:val="08EC3AA9"/>
    <w:rsid w:val="09E24DC5"/>
    <w:rsid w:val="0ACA6AD7"/>
    <w:rsid w:val="0B0462A6"/>
    <w:rsid w:val="0B765744"/>
    <w:rsid w:val="0C10492E"/>
    <w:rsid w:val="0C792EA8"/>
    <w:rsid w:val="0C943C7B"/>
    <w:rsid w:val="0CC11347"/>
    <w:rsid w:val="0CD30872"/>
    <w:rsid w:val="0D4678F7"/>
    <w:rsid w:val="0DD36E8E"/>
    <w:rsid w:val="0DEF14A6"/>
    <w:rsid w:val="0E6F353B"/>
    <w:rsid w:val="0E9B60AA"/>
    <w:rsid w:val="0EA3136B"/>
    <w:rsid w:val="0ED232B3"/>
    <w:rsid w:val="0EF52DE4"/>
    <w:rsid w:val="0F342926"/>
    <w:rsid w:val="0FD569A0"/>
    <w:rsid w:val="109D64DB"/>
    <w:rsid w:val="10A4411B"/>
    <w:rsid w:val="110D6E74"/>
    <w:rsid w:val="111C024C"/>
    <w:rsid w:val="11312F63"/>
    <w:rsid w:val="11442037"/>
    <w:rsid w:val="116F1376"/>
    <w:rsid w:val="117C6326"/>
    <w:rsid w:val="1182099C"/>
    <w:rsid w:val="12382C38"/>
    <w:rsid w:val="12465DD1"/>
    <w:rsid w:val="124E7E16"/>
    <w:rsid w:val="125D1A8E"/>
    <w:rsid w:val="12EC1BBB"/>
    <w:rsid w:val="12F7682C"/>
    <w:rsid w:val="134A27C6"/>
    <w:rsid w:val="13F148E7"/>
    <w:rsid w:val="14070C5D"/>
    <w:rsid w:val="140A74D4"/>
    <w:rsid w:val="1424511F"/>
    <w:rsid w:val="149E78ED"/>
    <w:rsid w:val="15E71C28"/>
    <w:rsid w:val="160B3BB0"/>
    <w:rsid w:val="16D709CD"/>
    <w:rsid w:val="16EA4D43"/>
    <w:rsid w:val="17164D48"/>
    <w:rsid w:val="17187B63"/>
    <w:rsid w:val="17960041"/>
    <w:rsid w:val="184D1504"/>
    <w:rsid w:val="185C6080"/>
    <w:rsid w:val="185D2204"/>
    <w:rsid w:val="19263BA1"/>
    <w:rsid w:val="19872473"/>
    <w:rsid w:val="19BA6426"/>
    <w:rsid w:val="1A4B2619"/>
    <w:rsid w:val="1A5533AE"/>
    <w:rsid w:val="1AFB2D97"/>
    <w:rsid w:val="1B01588B"/>
    <w:rsid w:val="1B7A57C8"/>
    <w:rsid w:val="1C25510C"/>
    <w:rsid w:val="1C2E1605"/>
    <w:rsid w:val="1C355627"/>
    <w:rsid w:val="1C534BB8"/>
    <w:rsid w:val="1CAB701F"/>
    <w:rsid w:val="1CB73BD9"/>
    <w:rsid w:val="1D4A4868"/>
    <w:rsid w:val="1D8A1314"/>
    <w:rsid w:val="1DEE7D5E"/>
    <w:rsid w:val="1E507BCE"/>
    <w:rsid w:val="1EAC6A16"/>
    <w:rsid w:val="1F3D6DE1"/>
    <w:rsid w:val="1FC10024"/>
    <w:rsid w:val="201F5BD2"/>
    <w:rsid w:val="204E4C92"/>
    <w:rsid w:val="20F264BA"/>
    <w:rsid w:val="20F562BC"/>
    <w:rsid w:val="21150CDE"/>
    <w:rsid w:val="215B5000"/>
    <w:rsid w:val="21BB34F0"/>
    <w:rsid w:val="22CC2106"/>
    <w:rsid w:val="23073DE8"/>
    <w:rsid w:val="232205B2"/>
    <w:rsid w:val="23731340"/>
    <w:rsid w:val="23C34FAD"/>
    <w:rsid w:val="24525667"/>
    <w:rsid w:val="24776DE5"/>
    <w:rsid w:val="24F14B49"/>
    <w:rsid w:val="25893461"/>
    <w:rsid w:val="26303E6F"/>
    <w:rsid w:val="26510966"/>
    <w:rsid w:val="26AB4D68"/>
    <w:rsid w:val="26FC2F43"/>
    <w:rsid w:val="28026800"/>
    <w:rsid w:val="28543749"/>
    <w:rsid w:val="285B744C"/>
    <w:rsid w:val="28E825AF"/>
    <w:rsid w:val="29A721FC"/>
    <w:rsid w:val="2A0F5748"/>
    <w:rsid w:val="2A287133"/>
    <w:rsid w:val="2A4011FC"/>
    <w:rsid w:val="2A646BA9"/>
    <w:rsid w:val="2AB304C9"/>
    <w:rsid w:val="2B0410FF"/>
    <w:rsid w:val="2B6D1429"/>
    <w:rsid w:val="2B8F28AA"/>
    <w:rsid w:val="2B983FEA"/>
    <w:rsid w:val="2BE71AC5"/>
    <w:rsid w:val="2BF0133F"/>
    <w:rsid w:val="2C472FE6"/>
    <w:rsid w:val="2CB429E4"/>
    <w:rsid w:val="2CFD520B"/>
    <w:rsid w:val="2DEB17F1"/>
    <w:rsid w:val="2E6F6B94"/>
    <w:rsid w:val="2EB26440"/>
    <w:rsid w:val="2EB7473C"/>
    <w:rsid w:val="2F0449D7"/>
    <w:rsid w:val="2F9B07E7"/>
    <w:rsid w:val="2FF01DBD"/>
    <w:rsid w:val="30AE3173"/>
    <w:rsid w:val="30E20AE3"/>
    <w:rsid w:val="30EB7883"/>
    <w:rsid w:val="31491F43"/>
    <w:rsid w:val="31536993"/>
    <w:rsid w:val="31C90501"/>
    <w:rsid w:val="320115F0"/>
    <w:rsid w:val="32402BE0"/>
    <w:rsid w:val="32773D8C"/>
    <w:rsid w:val="32851112"/>
    <w:rsid w:val="336643F9"/>
    <w:rsid w:val="33812B48"/>
    <w:rsid w:val="3429696D"/>
    <w:rsid w:val="34501E6A"/>
    <w:rsid w:val="345523BC"/>
    <w:rsid w:val="353149FD"/>
    <w:rsid w:val="363F2B11"/>
    <w:rsid w:val="37534196"/>
    <w:rsid w:val="37C051CD"/>
    <w:rsid w:val="37DB3DC7"/>
    <w:rsid w:val="38B47C60"/>
    <w:rsid w:val="397F13E3"/>
    <w:rsid w:val="397F58DB"/>
    <w:rsid w:val="39B75D9F"/>
    <w:rsid w:val="39C80A9F"/>
    <w:rsid w:val="39FD6713"/>
    <w:rsid w:val="3A251929"/>
    <w:rsid w:val="3A274AB0"/>
    <w:rsid w:val="3A4F56AD"/>
    <w:rsid w:val="3A8F0A7D"/>
    <w:rsid w:val="3AA91CF0"/>
    <w:rsid w:val="3AC519EF"/>
    <w:rsid w:val="3AEE5942"/>
    <w:rsid w:val="3B5648D9"/>
    <w:rsid w:val="3B961DEB"/>
    <w:rsid w:val="3BE03CC9"/>
    <w:rsid w:val="3C357EC5"/>
    <w:rsid w:val="3C3B1C80"/>
    <w:rsid w:val="3C477797"/>
    <w:rsid w:val="3C840CED"/>
    <w:rsid w:val="3D3D4F90"/>
    <w:rsid w:val="3DA71AFC"/>
    <w:rsid w:val="3DD95B58"/>
    <w:rsid w:val="3DF24B82"/>
    <w:rsid w:val="3E4F2013"/>
    <w:rsid w:val="3EA550C7"/>
    <w:rsid w:val="3EF745ED"/>
    <w:rsid w:val="3F657E5F"/>
    <w:rsid w:val="3FF84E59"/>
    <w:rsid w:val="401246F8"/>
    <w:rsid w:val="404B55E4"/>
    <w:rsid w:val="40F769EB"/>
    <w:rsid w:val="41886B42"/>
    <w:rsid w:val="41A65407"/>
    <w:rsid w:val="41BF30A4"/>
    <w:rsid w:val="41D46661"/>
    <w:rsid w:val="41D5521B"/>
    <w:rsid w:val="41D65289"/>
    <w:rsid w:val="42400209"/>
    <w:rsid w:val="42905D7F"/>
    <w:rsid w:val="42D10AFC"/>
    <w:rsid w:val="431948B8"/>
    <w:rsid w:val="44343DAB"/>
    <w:rsid w:val="44AB7D4D"/>
    <w:rsid w:val="44CE2C89"/>
    <w:rsid w:val="44D03A23"/>
    <w:rsid w:val="44DC1633"/>
    <w:rsid w:val="45E76CCF"/>
    <w:rsid w:val="45EC7DFF"/>
    <w:rsid w:val="467B22B0"/>
    <w:rsid w:val="4686527F"/>
    <w:rsid w:val="468E429C"/>
    <w:rsid w:val="468E5218"/>
    <w:rsid w:val="46BB3B98"/>
    <w:rsid w:val="47581874"/>
    <w:rsid w:val="479C0E33"/>
    <w:rsid w:val="47BB5226"/>
    <w:rsid w:val="47C46625"/>
    <w:rsid w:val="487A6A1F"/>
    <w:rsid w:val="48B3053C"/>
    <w:rsid w:val="48E66D39"/>
    <w:rsid w:val="493C1E17"/>
    <w:rsid w:val="49711B2F"/>
    <w:rsid w:val="49F03582"/>
    <w:rsid w:val="49F625DF"/>
    <w:rsid w:val="4A154ECF"/>
    <w:rsid w:val="4A5111ED"/>
    <w:rsid w:val="4A8B115D"/>
    <w:rsid w:val="4ABD7AF8"/>
    <w:rsid w:val="4AF956F9"/>
    <w:rsid w:val="4B463238"/>
    <w:rsid w:val="4BA11EF2"/>
    <w:rsid w:val="4BA758F8"/>
    <w:rsid w:val="4C812D65"/>
    <w:rsid w:val="4C894B4E"/>
    <w:rsid w:val="4CCD4816"/>
    <w:rsid w:val="4CE12728"/>
    <w:rsid w:val="4D333CE3"/>
    <w:rsid w:val="4D3D4769"/>
    <w:rsid w:val="4D6D367F"/>
    <w:rsid w:val="4D9E5EDB"/>
    <w:rsid w:val="4DB33CE7"/>
    <w:rsid w:val="4E102FD8"/>
    <w:rsid w:val="4E6A3760"/>
    <w:rsid w:val="4E7002A7"/>
    <w:rsid w:val="4EDF4346"/>
    <w:rsid w:val="4EF7156E"/>
    <w:rsid w:val="4F0278D7"/>
    <w:rsid w:val="4F6B1D6C"/>
    <w:rsid w:val="4F7E3822"/>
    <w:rsid w:val="50001DC6"/>
    <w:rsid w:val="50283D43"/>
    <w:rsid w:val="5033790B"/>
    <w:rsid w:val="50A84396"/>
    <w:rsid w:val="50AF51FF"/>
    <w:rsid w:val="516E4EBE"/>
    <w:rsid w:val="517D5309"/>
    <w:rsid w:val="517E73D2"/>
    <w:rsid w:val="519663A6"/>
    <w:rsid w:val="51E151A5"/>
    <w:rsid w:val="51E616F1"/>
    <w:rsid w:val="51FF6EE3"/>
    <w:rsid w:val="5222749B"/>
    <w:rsid w:val="528B5604"/>
    <w:rsid w:val="529146BC"/>
    <w:rsid w:val="530A27CC"/>
    <w:rsid w:val="5317379B"/>
    <w:rsid w:val="536B68B4"/>
    <w:rsid w:val="53F93E1B"/>
    <w:rsid w:val="54CE3649"/>
    <w:rsid w:val="54CF68A8"/>
    <w:rsid w:val="557C6550"/>
    <w:rsid w:val="55802071"/>
    <w:rsid w:val="56060482"/>
    <w:rsid w:val="5836234E"/>
    <w:rsid w:val="58A962C4"/>
    <w:rsid w:val="58B401CE"/>
    <w:rsid w:val="58CA58AB"/>
    <w:rsid w:val="58DC519B"/>
    <w:rsid w:val="58ED4ACE"/>
    <w:rsid w:val="59204561"/>
    <w:rsid w:val="59621FC9"/>
    <w:rsid w:val="598D7AD8"/>
    <w:rsid w:val="5ADE004A"/>
    <w:rsid w:val="5B2155DE"/>
    <w:rsid w:val="5B2C1298"/>
    <w:rsid w:val="5B9337EA"/>
    <w:rsid w:val="5B9759DA"/>
    <w:rsid w:val="5BA610EE"/>
    <w:rsid w:val="5C3B2DFB"/>
    <w:rsid w:val="5C5C7D03"/>
    <w:rsid w:val="5CB7271E"/>
    <w:rsid w:val="5CF45569"/>
    <w:rsid w:val="5D045C48"/>
    <w:rsid w:val="5D23702D"/>
    <w:rsid w:val="5D623D33"/>
    <w:rsid w:val="5D625335"/>
    <w:rsid w:val="5DAB6875"/>
    <w:rsid w:val="5E1221D9"/>
    <w:rsid w:val="5E6917E6"/>
    <w:rsid w:val="5E73536D"/>
    <w:rsid w:val="5EBC1DA1"/>
    <w:rsid w:val="5EC84C5C"/>
    <w:rsid w:val="5F036207"/>
    <w:rsid w:val="5F0A3E99"/>
    <w:rsid w:val="5F395318"/>
    <w:rsid w:val="5F566E14"/>
    <w:rsid w:val="5FD44556"/>
    <w:rsid w:val="60106D27"/>
    <w:rsid w:val="60401BE6"/>
    <w:rsid w:val="6053492E"/>
    <w:rsid w:val="60577EBB"/>
    <w:rsid w:val="61031589"/>
    <w:rsid w:val="61A660F3"/>
    <w:rsid w:val="61CC635E"/>
    <w:rsid w:val="61F32199"/>
    <w:rsid w:val="620D1877"/>
    <w:rsid w:val="621A5D72"/>
    <w:rsid w:val="62251A50"/>
    <w:rsid w:val="629F7651"/>
    <w:rsid w:val="634D2F3B"/>
    <w:rsid w:val="6361195D"/>
    <w:rsid w:val="63635ABC"/>
    <w:rsid w:val="646667E0"/>
    <w:rsid w:val="64886EC8"/>
    <w:rsid w:val="64BD7629"/>
    <w:rsid w:val="651E684C"/>
    <w:rsid w:val="65667228"/>
    <w:rsid w:val="658D5FDF"/>
    <w:rsid w:val="65B86324"/>
    <w:rsid w:val="65C24798"/>
    <w:rsid w:val="65F45964"/>
    <w:rsid w:val="663355C0"/>
    <w:rsid w:val="665B6227"/>
    <w:rsid w:val="666B5C98"/>
    <w:rsid w:val="66BF45F5"/>
    <w:rsid w:val="66ED681D"/>
    <w:rsid w:val="67083703"/>
    <w:rsid w:val="670870B2"/>
    <w:rsid w:val="672C2D3E"/>
    <w:rsid w:val="682E57D3"/>
    <w:rsid w:val="68606F5B"/>
    <w:rsid w:val="688B52D5"/>
    <w:rsid w:val="68BD4ED0"/>
    <w:rsid w:val="692525BF"/>
    <w:rsid w:val="69882A8B"/>
    <w:rsid w:val="69A906F7"/>
    <w:rsid w:val="69E80704"/>
    <w:rsid w:val="69ED7B2F"/>
    <w:rsid w:val="6B110AC2"/>
    <w:rsid w:val="6B191B66"/>
    <w:rsid w:val="6B6F3C61"/>
    <w:rsid w:val="6B7E6E57"/>
    <w:rsid w:val="6BA03651"/>
    <w:rsid w:val="6BCD20CC"/>
    <w:rsid w:val="6BCD40C5"/>
    <w:rsid w:val="6BD85234"/>
    <w:rsid w:val="6C553F78"/>
    <w:rsid w:val="6C8522AE"/>
    <w:rsid w:val="6CBF2A20"/>
    <w:rsid w:val="6CDD21EE"/>
    <w:rsid w:val="6D015EC6"/>
    <w:rsid w:val="6D0D2DA6"/>
    <w:rsid w:val="6D7E53F1"/>
    <w:rsid w:val="6DC222E4"/>
    <w:rsid w:val="6DD57BB0"/>
    <w:rsid w:val="6E3075E0"/>
    <w:rsid w:val="6E4A6149"/>
    <w:rsid w:val="6E876B9D"/>
    <w:rsid w:val="6F2E3E36"/>
    <w:rsid w:val="6F713CD1"/>
    <w:rsid w:val="6F843573"/>
    <w:rsid w:val="6FB03172"/>
    <w:rsid w:val="6FDD0F33"/>
    <w:rsid w:val="7054640E"/>
    <w:rsid w:val="70E316C8"/>
    <w:rsid w:val="715C78A1"/>
    <w:rsid w:val="71CD2E84"/>
    <w:rsid w:val="71CE163E"/>
    <w:rsid w:val="72341A26"/>
    <w:rsid w:val="724C2405"/>
    <w:rsid w:val="72651C65"/>
    <w:rsid w:val="72682421"/>
    <w:rsid w:val="728B3BB5"/>
    <w:rsid w:val="72AC6747"/>
    <w:rsid w:val="72C32FE5"/>
    <w:rsid w:val="72E67902"/>
    <w:rsid w:val="73073CAC"/>
    <w:rsid w:val="73FC2BD0"/>
    <w:rsid w:val="74613744"/>
    <w:rsid w:val="74C82A41"/>
    <w:rsid w:val="754A0433"/>
    <w:rsid w:val="756D71A9"/>
    <w:rsid w:val="75E75BAB"/>
    <w:rsid w:val="75F241D6"/>
    <w:rsid w:val="765956F2"/>
    <w:rsid w:val="770E6F56"/>
    <w:rsid w:val="7730383C"/>
    <w:rsid w:val="773E5967"/>
    <w:rsid w:val="79863F5C"/>
    <w:rsid w:val="79E957ED"/>
    <w:rsid w:val="7A5A304A"/>
    <w:rsid w:val="7BC74313"/>
    <w:rsid w:val="7C9A2A56"/>
    <w:rsid w:val="7CBD248F"/>
    <w:rsid w:val="7E1951E3"/>
    <w:rsid w:val="7E6060A1"/>
    <w:rsid w:val="7E800294"/>
    <w:rsid w:val="7EC60960"/>
    <w:rsid w:val="7ED33AAD"/>
    <w:rsid w:val="7EEA0853"/>
    <w:rsid w:val="7F876F5F"/>
    <w:rsid w:val="7FE367C0"/>
    <w:rsid w:val="7FE8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2021-08-22T05:32:00Z</dcterms:created>
  <dc:creator>蚌埠市财政局</dc:creator>
  <cp:lastModifiedBy>Administrator</cp:lastModifiedBy>
  <dcterms:modified xsi:type="dcterms:W3CDTF">2022-09-01T01:09:43Z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