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华文中宋" w:hAnsi="华文中宋" w:eastAsia="华文中宋" w:cs="华文中宋"/>
          <w:b/>
          <w:sz w:val="52"/>
          <w:szCs w:val="84"/>
        </w:rPr>
      </w:pPr>
    </w:p>
    <w:p>
      <w:pPr>
        <w:adjustRightInd w:val="0"/>
        <w:snapToGrid w:val="0"/>
        <w:spacing w:line="360" w:lineRule="auto"/>
        <w:rPr>
          <w:rFonts w:hint="eastAsia" w:ascii="华文中宋" w:hAnsi="华文中宋" w:eastAsia="华文中宋" w:cs="华文中宋"/>
          <w:b/>
          <w:sz w:val="52"/>
          <w:szCs w:val="84"/>
        </w:rPr>
      </w:pPr>
    </w:p>
    <w:p>
      <w:pPr>
        <w:adjustRightInd w:val="0"/>
        <w:snapToGrid w:val="0"/>
        <w:spacing w:line="360" w:lineRule="auto"/>
        <w:jc w:val="center"/>
        <w:rPr>
          <w:rFonts w:hint="eastAsia" w:ascii="华文中宋" w:hAnsi="华文中宋" w:eastAsia="华文中宋" w:cs="华文中宋"/>
          <w:b/>
          <w:color w:val="auto"/>
          <w:sz w:val="48"/>
          <w:szCs w:val="48"/>
        </w:rPr>
      </w:pPr>
      <w:r>
        <w:rPr>
          <w:rFonts w:hint="eastAsia" w:ascii="华文中宋" w:hAnsi="华文中宋" w:eastAsia="华文中宋" w:cs="华文中宋"/>
          <w:b/>
          <w:sz w:val="48"/>
          <w:szCs w:val="48"/>
          <w:lang w:eastAsia="zh-CN"/>
        </w:rPr>
        <w:t>蚌埠市科学技术协会本级</w:t>
      </w:r>
      <w:r>
        <w:rPr>
          <w:rFonts w:hint="eastAsia" w:ascii="华文中宋" w:hAnsi="华文中宋" w:eastAsia="华文中宋" w:cs="华文中宋"/>
          <w:b/>
          <w:sz w:val="48"/>
          <w:szCs w:val="48"/>
        </w:rPr>
        <w:t>2020年</w:t>
      </w:r>
      <w:r>
        <w:rPr>
          <w:rFonts w:hint="eastAsia" w:ascii="华文中宋" w:hAnsi="华文中宋" w:eastAsia="华文中宋" w:cs="华文中宋"/>
          <w:b/>
          <w:color w:val="auto"/>
          <w:sz w:val="48"/>
          <w:szCs w:val="48"/>
        </w:rPr>
        <w:t>度</w:t>
      </w:r>
    </w:p>
    <w:p>
      <w:pPr>
        <w:adjustRightInd w:val="0"/>
        <w:snapToGrid w:val="0"/>
        <w:spacing w:line="360" w:lineRule="auto"/>
        <w:jc w:val="center"/>
        <w:rPr>
          <w:rFonts w:hint="eastAsia" w:ascii="华文中宋" w:hAnsi="华文中宋" w:eastAsia="华文中宋" w:cs="华文中宋"/>
          <w:b/>
          <w:sz w:val="48"/>
          <w:szCs w:val="48"/>
        </w:rPr>
      </w:pPr>
      <w:bookmarkStart w:id="0" w:name="_GoBack"/>
      <w:bookmarkEnd w:id="0"/>
      <w:r>
        <w:rPr>
          <w:rFonts w:hint="eastAsia" w:ascii="华文中宋" w:hAnsi="华文中宋" w:eastAsia="华文中宋" w:cs="华文中宋"/>
          <w:b/>
          <w:color w:val="auto"/>
          <w:sz w:val="48"/>
          <w:szCs w:val="48"/>
          <w:lang w:eastAsia="zh-CN"/>
        </w:rPr>
        <w:t>单位</w:t>
      </w:r>
      <w:r>
        <w:rPr>
          <w:rFonts w:hint="eastAsia" w:ascii="华文中宋" w:hAnsi="华文中宋" w:eastAsia="华文中宋" w:cs="华文中宋"/>
          <w:b/>
          <w:sz w:val="48"/>
          <w:szCs w:val="48"/>
        </w:rPr>
        <w:t>决算</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pStyle w:val="2"/>
        <w:adjustRightInd w:val="0"/>
        <w:snapToGrid w:val="0"/>
        <w:spacing w:before="0" w:beforeAutospacing="0" w:after="0" w:afterAutospacing="0" w:line="360" w:lineRule="auto"/>
        <w:jc w:val="center"/>
        <w:rPr>
          <w:rFonts w:hint="eastAsia" w:ascii="黑体" w:hAnsi="黑体" w:eastAsia="黑体"/>
          <w:bCs/>
          <w:sz w:val="44"/>
          <w:szCs w:val="44"/>
        </w:rPr>
      </w:pPr>
      <w:r>
        <w:rPr>
          <w:rFonts w:hint="eastAsia" w:ascii="黑体" w:hAnsi="黑体" w:eastAsia="黑体"/>
          <w:bCs/>
          <w:sz w:val="44"/>
          <w:szCs w:val="44"/>
        </w:rPr>
        <w:t>2021年</w:t>
      </w:r>
      <w:r>
        <w:rPr>
          <w:rFonts w:hint="eastAsia" w:ascii="黑体" w:hAnsi="黑体" w:eastAsia="黑体"/>
          <w:bCs/>
          <w:sz w:val="44"/>
          <w:szCs w:val="44"/>
          <w:lang w:val="en-US" w:eastAsia="zh-CN"/>
        </w:rPr>
        <w:t>9</w:t>
      </w:r>
      <w:r>
        <w:rPr>
          <w:rFonts w:hint="eastAsia" w:ascii="黑体" w:hAnsi="黑体" w:eastAsia="黑体"/>
          <w:bCs/>
          <w:sz w:val="44"/>
          <w:szCs w:val="44"/>
        </w:rPr>
        <w:t>月</w:t>
      </w:r>
    </w:p>
    <w:p>
      <w:pPr>
        <w:spacing w:line="580" w:lineRule="exact"/>
        <w:jc w:val="center"/>
        <w:rPr>
          <w:rFonts w:hint="eastAsia" w:ascii="黑体" w:hAnsi="宋体" w:eastAsia="黑体"/>
          <w:bCs/>
          <w:sz w:val="44"/>
          <w:szCs w:val="44"/>
        </w:rPr>
      </w:pPr>
      <w:r>
        <w:rPr>
          <w:rFonts w:hint="eastAsia" w:ascii="黑体" w:hAnsi="宋体" w:eastAsia="黑体"/>
          <w:bCs/>
          <w:sz w:val="44"/>
          <w:szCs w:val="44"/>
        </w:rPr>
        <w:t>目  录</w:t>
      </w:r>
    </w:p>
    <w:p>
      <w:pPr>
        <w:spacing w:line="550" w:lineRule="exact"/>
        <w:rPr>
          <w:rFonts w:hint="eastAsia" w:ascii="宋体" w:hAnsi="宋体"/>
          <w:b/>
          <w:sz w:val="32"/>
          <w:szCs w:val="32"/>
        </w:rPr>
      </w:pPr>
      <w:r>
        <w:rPr>
          <w:rFonts w:hint="eastAsia" w:ascii="宋体" w:hAnsi="宋体"/>
          <w:b/>
          <w:sz w:val="32"/>
          <w:szCs w:val="32"/>
        </w:rPr>
        <w:t>第一部分 单位概况</w:t>
      </w:r>
    </w:p>
    <w:p>
      <w:pPr>
        <w:spacing w:line="550" w:lineRule="exact"/>
        <w:rPr>
          <w:rFonts w:hint="eastAsia" w:ascii="宋体" w:hAnsi="宋体"/>
          <w:bCs/>
          <w:sz w:val="32"/>
          <w:szCs w:val="32"/>
        </w:rPr>
      </w:pPr>
      <w:r>
        <w:rPr>
          <w:rFonts w:hint="eastAsia" w:ascii="宋体" w:hAnsi="宋体"/>
          <w:bCs/>
          <w:sz w:val="32"/>
          <w:szCs w:val="32"/>
        </w:rPr>
        <w:t>一、主要职责</w:t>
      </w:r>
    </w:p>
    <w:p>
      <w:pPr>
        <w:spacing w:line="550" w:lineRule="exact"/>
        <w:rPr>
          <w:rFonts w:hint="eastAsia" w:ascii="宋体" w:hAnsi="宋体"/>
          <w:bCs/>
          <w:sz w:val="32"/>
          <w:szCs w:val="32"/>
        </w:rPr>
      </w:pPr>
      <w:r>
        <w:rPr>
          <w:rFonts w:hint="eastAsia" w:ascii="宋体" w:hAnsi="宋体"/>
          <w:bCs/>
          <w:sz w:val="32"/>
          <w:szCs w:val="32"/>
        </w:rPr>
        <w:t>二、单位决算构成</w:t>
      </w:r>
    </w:p>
    <w:p>
      <w:pPr>
        <w:spacing w:line="550" w:lineRule="exact"/>
        <w:rPr>
          <w:rFonts w:hint="eastAsia" w:ascii="宋体" w:hAnsi="宋体"/>
          <w:b/>
          <w:sz w:val="32"/>
          <w:szCs w:val="32"/>
        </w:rPr>
      </w:pPr>
      <w:r>
        <w:rPr>
          <w:rFonts w:hint="eastAsia" w:ascii="宋体" w:hAnsi="宋体"/>
          <w:b/>
          <w:sz w:val="32"/>
          <w:szCs w:val="32"/>
        </w:rPr>
        <w:t>第二部分 2020年度单位决算表</w:t>
      </w:r>
    </w:p>
    <w:p>
      <w:pPr>
        <w:spacing w:line="550" w:lineRule="exact"/>
        <w:rPr>
          <w:rFonts w:hint="eastAsia" w:ascii="宋体" w:hAnsi="宋体"/>
          <w:bCs/>
          <w:sz w:val="32"/>
          <w:szCs w:val="32"/>
        </w:rPr>
      </w:pPr>
      <w:r>
        <w:rPr>
          <w:rFonts w:hint="eastAsia" w:ascii="宋体" w:hAnsi="宋体"/>
          <w:bCs/>
          <w:sz w:val="32"/>
          <w:szCs w:val="32"/>
        </w:rPr>
        <w:t>一、收入支出决算总表</w:t>
      </w:r>
    </w:p>
    <w:p>
      <w:pPr>
        <w:spacing w:line="550" w:lineRule="exact"/>
        <w:rPr>
          <w:rFonts w:hint="eastAsia" w:ascii="宋体" w:hAnsi="宋体"/>
          <w:bCs/>
          <w:sz w:val="32"/>
          <w:szCs w:val="32"/>
        </w:rPr>
      </w:pPr>
      <w:r>
        <w:rPr>
          <w:rFonts w:hint="eastAsia" w:ascii="宋体" w:hAnsi="宋体"/>
          <w:bCs/>
          <w:sz w:val="32"/>
          <w:szCs w:val="32"/>
        </w:rPr>
        <w:t>二、收入决算表</w:t>
      </w:r>
    </w:p>
    <w:p>
      <w:pPr>
        <w:spacing w:line="550" w:lineRule="exact"/>
        <w:rPr>
          <w:rFonts w:hint="eastAsia" w:ascii="宋体" w:hAnsi="宋体"/>
          <w:bCs/>
          <w:sz w:val="32"/>
          <w:szCs w:val="32"/>
        </w:rPr>
      </w:pPr>
      <w:r>
        <w:rPr>
          <w:rFonts w:hint="eastAsia" w:ascii="宋体" w:hAnsi="宋体"/>
          <w:bCs/>
          <w:sz w:val="32"/>
          <w:szCs w:val="32"/>
        </w:rPr>
        <w:t>三、支出决算表</w:t>
      </w:r>
    </w:p>
    <w:p>
      <w:pPr>
        <w:spacing w:line="550" w:lineRule="exact"/>
        <w:rPr>
          <w:rFonts w:hint="eastAsia" w:ascii="宋体" w:hAnsi="宋体"/>
          <w:bCs/>
          <w:sz w:val="32"/>
          <w:szCs w:val="32"/>
        </w:rPr>
      </w:pPr>
      <w:r>
        <w:rPr>
          <w:rFonts w:hint="eastAsia" w:ascii="宋体" w:hAnsi="宋体"/>
          <w:bCs/>
          <w:sz w:val="32"/>
          <w:szCs w:val="32"/>
        </w:rPr>
        <w:t>四、财政拨款收入支出决算总表</w:t>
      </w:r>
    </w:p>
    <w:p>
      <w:pPr>
        <w:spacing w:line="550" w:lineRule="exact"/>
        <w:rPr>
          <w:rFonts w:hint="eastAsia" w:ascii="宋体" w:hAnsi="宋体"/>
          <w:bCs/>
          <w:sz w:val="32"/>
          <w:szCs w:val="32"/>
        </w:rPr>
      </w:pPr>
      <w:r>
        <w:rPr>
          <w:rFonts w:hint="eastAsia" w:ascii="宋体" w:hAnsi="宋体"/>
          <w:bCs/>
          <w:sz w:val="32"/>
          <w:szCs w:val="32"/>
        </w:rPr>
        <w:t>五、一般公共预算财政拨款支出决算表</w:t>
      </w:r>
    </w:p>
    <w:p>
      <w:pPr>
        <w:spacing w:line="550" w:lineRule="exact"/>
        <w:rPr>
          <w:rFonts w:hint="eastAsia" w:ascii="宋体" w:hAnsi="宋体"/>
          <w:bCs/>
          <w:sz w:val="32"/>
          <w:szCs w:val="32"/>
        </w:rPr>
      </w:pPr>
      <w:r>
        <w:rPr>
          <w:rFonts w:hint="eastAsia" w:ascii="宋体" w:hAnsi="宋体"/>
          <w:bCs/>
          <w:sz w:val="32"/>
          <w:szCs w:val="32"/>
        </w:rPr>
        <w:t>六、一般公共预算财政拨款基本支出决算表</w:t>
      </w:r>
    </w:p>
    <w:p>
      <w:pPr>
        <w:spacing w:line="550" w:lineRule="exact"/>
        <w:rPr>
          <w:rFonts w:hint="eastAsia" w:ascii="宋体" w:hAnsi="宋体"/>
          <w:bCs/>
          <w:sz w:val="32"/>
          <w:szCs w:val="32"/>
        </w:rPr>
      </w:pPr>
      <w:r>
        <w:rPr>
          <w:rFonts w:hint="eastAsia" w:ascii="宋体" w:hAnsi="宋体"/>
          <w:bCs/>
          <w:sz w:val="32"/>
          <w:szCs w:val="32"/>
        </w:rPr>
        <w:t>七、政府性基金预算财政拨款收入支出决算表</w:t>
      </w:r>
    </w:p>
    <w:p>
      <w:pPr>
        <w:spacing w:line="550" w:lineRule="exact"/>
        <w:rPr>
          <w:rFonts w:hint="eastAsia" w:ascii="宋体" w:hAnsi="宋体"/>
          <w:bCs/>
          <w:sz w:val="32"/>
          <w:szCs w:val="32"/>
        </w:rPr>
      </w:pPr>
      <w:r>
        <w:rPr>
          <w:rFonts w:hint="eastAsia" w:ascii="宋体" w:hAnsi="宋体"/>
          <w:bCs/>
          <w:sz w:val="32"/>
          <w:szCs w:val="32"/>
        </w:rPr>
        <w:t>八、国有资本经营预算财政拨款支出决算表</w:t>
      </w:r>
    </w:p>
    <w:p>
      <w:pPr>
        <w:spacing w:line="550" w:lineRule="exact"/>
        <w:rPr>
          <w:rFonts w:hint="eastAsia" w:ascii="宋体" w:hAnsi="宋体"/>
          <w:b/>
          <w:sz w:val="32"/>
          <w:szCs w:val="32"/>
        </w:rPr>
      </w:pPr>
      <w:r>
        <w:rPr>
          <w:rFonts w:hint="eastAsia" w:ascii="宋体" w:hAnsi="宋体"/>
          <w:b/>
          <w:sz w:val="32"/>
          <w:szCs w:val="32"/>
        </w:rPr>
        <w:t>第三部分 2020年度单位决算情况说明</w:t>
      </w:r>
    </w:p>
    <w:p>
      <w:pPr>
        <w:spacing w:line="550" w:lineRule="exact"/>
        <w:rPr>
          <w:rFonts w:hint="eastAsia" w:ascii="宋体" w:hAnsi="宋体"/>
          <w:bCs/>
          <w:sz w:val="32"/>
          <w:szCs w:val="32"/>
        </w:rPr>
      </w:pPr>
      <w:r>
        <w:rPr>
          <w:rFonts w:hint="eastAsia" w:ascii="宋体" w:hAnsi="宋体"/>
          <w:bCs/>
          <w:sz w:val="32"/>
          <w:szCs w:val="32"/>
        </w:rPr>
        <w:t>一、收入支出决算总体情况</w:t>
      </w:r>
      <w:r>
        <w:rPr>
          <w:rFonts w:hint="eastAsia" w:ascii="宋体" w:hAnsi="宋体"/>
          <w:bCs/>
          <w:color w:val="auto"/>
          <w:sz w:val="32"/>
          <w:szCs w:val="32"/>
        </w:rPr>
        <w:t>说明</w:t>
      </w:r>
    </w:p>
    <w:p>
      <w:pPr>
        <w:spacing w:line="550" w:lineRule="exact"/>
        <w:rPr>
          <w:rFonts w:hint="eastAsia" w:ascii="宋体" w:hAnsi="宋体"/>
          <w:bCs/>
          <w:sz w:val="32"/>
          <w:szCs w:val="32"/>
        </w:rPr>
      </w:pPr>
      <w:r>
        <w:rPr>
          <w:rFonts w:hint="eastAsia" w:ascii="宋体" w:hAnsi="宋体"/>
          <w:bCs/>
          <w:sz w:val="32"/>
          <w:szCs w:val="32"/>
        </w:rPr>
        <w:t>二、收入决算情况说明</w:t>
      </w:r>
    </w:p>
    <w:p>
      <w:pPr>
        <w:spacing w:line="550" w:lineRule="exact"/>
        <w:rPr>
          <w:rFonts w:hint="eastAsia" w:ascii="宋体" w:hAnsi="宋体"/>
          <w:bCs/>
          <w:sz w:val="32"/>
          <w:szCs w:val="32"/>
        </w:rPr>
      </w:pPr>
      <w:r>
        <w:rPr>
          <w:rFonts w:hint="eastAsia" w:ascii="宋体" w:hAnsi="宋体"/>
          <w:bCs/>
          <w:sz w:val="32"/>
          <w:szCs w:val="32"/>
        </w:rPr>
        <w:t>三、支出决算情况说明</w:t>
      </w:r>
    </w:p>
    <w:p>
      <w:pPr>
        <w:spacing w:line="550" w:lineRule="exact"/>
        <w:rPr>
          <w:rFonts w:hint="eastAsia" w:ascii="宋体" w:hAnsi="宋体"/>
          <w:bCs/>
          <w:sz w:val="32"/>
          <w:szCs w:val="32"/>
        </w:rPr>
      </w:pPr>
      <w:r>
        <w:rPr>
          <w:rFonts w:hint="eastAsia" w:ascii="宋体" w:hAnsi="宋体"/>
          <w:bCs/>
          <w:sz w:val="32"/>
          <w:szCs w:val="32"/>
        </w:rPr>
        <w:t>四、财政拨款收入支出决算总体情况说明</w:t>
      </w:r>
    </w:p>
    <w:p>
      <w:pPr>
        <w:spacing w:line="550" w:lineRule="exact"/>
        <w:rPr>
          <w:rFonts w:hint="eastAsia" w:ascii="宋体" w:hAnsi="宋体"/>
          <w:bCs/>
          <w:sz w:val="32"/>
          <w:szCs w:val="32"/>
        </w:rPr>
      </w:pPr>
      <w:r>
        <w:rPr>
          <w:rFonts w:hint="eastAsia" w:ascii="宋体" w:hAnsi="宋体"/>
          <w:bCs/>
          <w:sz w:val="32"/>
          <w:szCs w:val="32"/>
        </w:rPr>
        <w:t>五、一般公共预算财政拨款支出决算情况说明</w:t>
      </w:r>
    </w:p>
    <w:p>
      <w:pPr>
        <w:spacing w:line="550" w:lineRule="exact"/>
        <w:rPr>
          <w:rFonts w:hint="eastAsia" w:ascii="宋体" w:hAnsi="宋体"/>
          <w:bCs/>
          <w:sz w:val="32"/>
          <w:szCs w:val="32"/>
        </w:rPr>
      </w:pPr>
      <w:r>
        <w:rPr>
          <w:rFonts w:hint="eastAsia" w:ascii="宋体" w:hAnsi="宋体"/>
          <w:bCs/>
          <w:sz w:val="32"/>
          <w:szCs w:val="32"/>
        </w:rPr>
        <w:t>六、一般公共预算财政拨款基本支出决算情况说明</w:t>
      </w:r>
    </w:p>
    <w:p>
      <w:pPr>
        <w:spacing w:line="550" w:lineRule="exact"/>
        <w:rPr>
          <w:rFonts w:hint="eastAsia" w:ascii="宋体" w:hAnsi="宋体"/>
          <w:bCs/>
          <w:sz w:val="32"/>
          <w:szCs w:val="32"/>
        </w:rPr>
      </w:pPr>
      <w:r>
        <w:rPr>
          <w:rFonts w:hint="eastAsia" w:ascii="宋体" w:hAnsi="宋体"/>
          <w:bCs/>
          <w:sz w:val="32"/>
          <w:szCs w:val="32"/>
        </w:rPr>
        <w:t>七、政府性基金财政拨款收入支出决算情况说明</w:t>
      </w:r>
    </w:p>
    <w:p>
      <w:pPr>
        <w:spacing w:line="550" w:lineRule="exact"/>
        <w:rPr>
          <w:rFonts w:hint="eastAsia" w:ascii="宋体" w:hAnsi="宋体"/>
          <w:bCs/>
          <w:sz w:val="32"/>
          <w:szCs w:val="32"/>
        </w:rPr>
      </w:pPr>
      <w:r>
        <w:rPr>
          <w:rFonts w:hint="eastAsia" w:ascii="宋体" w:hAnsi="宋体"/>
          <w:bCs/>
          <w:sz w:val="32"/>
          <w:szCs w:val="32"/>
        </w:rPr>
        <w:t>八、国有资本经营预算财政拨款支出决算情况说明</w:t>
      </w:r>
    </w:p>
    <w:p>
      <w:pPr>
        <w:spacing w:line="550" w:lineRule="exact"/>
        <w:rPr>
          <w:rFonts w:hint="eastAsia" w:ascii="宋体" w:hAnsi="宋体"/>
          <w:bCs/>
          <w:sz w:val="32"/>
          <w:szCs w:val="32"/>
        </w:rPr>
      </w:pPr>
      <w:r>
        <w:rPr>
          <w:rFonts w:hint="eastAsia" w:ascii="宋体" w:hAnsi="宋体"/>
          <w:bCs/>
          <w:sz w:val="32"/>
          <w:szCs w:val="32"/>
        </w:rPr>
        <w:t>九、其他重要事项情况说明</w:t>
      </w:r>
    </w:p>
    <w:p>
      <w:pPr>
        <w:spacing w:line="550" w:lineRule="exact"/>
        <w:rPr>
          <w:rFonts w:hint="eastAsia" w:ascii="宋体" w:hAnsi="宋体"/>
          <w:b/>
          <w:sz w:val="32"/>
          <w:szCs w:val="32"/>
        </w:rPr>
      </w:pPr>
      <w:r>
        <w:rPr>
          <w:rFonts w:hint="eastAsia" w:ascii="宋体" w:hAnsi="宋体"/>
          <w:b/>
          <w:sz w:val="32"/>
          <w:szCs w:val="32"/>
        </w:rPr>
        <w:t>第四部分  名词解释</w:t>
      </w:r>
    </w:p>
    <w:p>
      <w:pPr>
        <w:spacing w:line="550" w:lineRule="exact"/>
        <w:rPr>
          <w:rFonts w:hint="eastAsia" w:ascii="宋体" w:hAnsi="宋体"/>
          <w:b/>
          <w:sz w:val="32"/>
          <w:szCs w:val="32"/>
        </w:rPr>
      </w:pPr>
      <w:r>
        <w:rPr>
          <w:rFonts w:hint="eastAsia" w:ascii="宋体" w:hAnsi="宋体"/>
          <w:b/>
          <w:sz w:val="32"/>
          <w:szCs w:val="32"/>
        </w:rPr>
        <w:t>第</w:t>
      </w:r>
      <w:r>
        <w:rPr>
          <w:rFonts w:hint="eastAsia" w:ascii="宋体" w:hAnsi="宋体"/>
          <w:b/>
          <w:sz w:val="32"/>
          <w:szCs w:val="32"/>
          <w:lang w:eastAsia="zh-CN"/>
        </w:rPr>
        <w:t>五</w:t>
      </w:r>
      <w:r>
        <w:rPr>
          <w:rFonts w:hint="eastAsia" w:ascii="宋体" w:hAnsi="宋体"/>
          <w:b/>
          <w:sz w:val="32"/>
          <w:szCs w:val="32"/>
        </w:rPr>
        <w:t xml:space="preserve">部分 </w:t>
      </w:r>
      <w:r>
        <w:rPr>
          <w:rFonts w:hint="eastAsia" w:ascii="宋体" w:hAnsi="宋体"/>
          <w:b/>
          <w:sz w:val="32"/>
          <w:szCs w:val="32"/>
          <w:lang w:val="en-US" w:eastAsia="zh-CN"/>
        </w:rPr>
        <w:t xml:space="preserve"> </w:t>
      </w:r>
      <w:r>
        <w:rPr>
          <w:rFonts w:hint="eastAsia" w:ascii="宋体" w:hAnsi="宋体"/>
          <w:b/>
          <w:sz w:val="32"/>
          <w:szCs w:val="32"/>
          <w:lang w:eastAsia="zh-CN"/>
        </w:rPr>
        <w:t>附件</w:t>
      </w:r>
    </w:p>
    <w:p>
      <w:pPr>
        <w:rPr>
          <w:rFonts w:hint="eastAsia" w:ascii="宋体" w:hAnsi="宋体"/>
          <w:b/>
          <w:sz w:val="36"/>
          <w:szCs w:val="36"/>
        </w:rPr>
      </w:pPr>
    </w:p>
    <w:p>
      <w:pPr>
        <w:jc w:val="center"/>
        <w:rPr>
          <w:rFonts w:hint="eastAsia" w:ascii="宋体" w:hAnsi="宋体"/>
          <w:b/>
          <w:sz w:val="36"/>
          <w:szCs w:val="36"/>
        </w:rPr>
      </w:pPr>
      <w:r>
        <w:rPr>
          <w:rFonts w:hint="eastAsia" w:ascii="宋体" w:hAnsi="宋体"/>
          <w:b/>
          <w:sz w:val="36"/>
          <w:szCs w:val="36"/>
          <w:lang w:eastAsia="zh-CN"/>
        </w:rPr>
        <w:t>蚌埠市科协本级</w:t>
      </w:r>
      <w:r>
        <w:rPr>
          <w:rFonts w:ascii="宋体" w:hAnsi="宋体"/>
          <w:b/>
          <w:sz w:val="36"/>
          <w:szCs w:val="36"/>
        </w:rPr>
        <w:t>2020年</w:t>
      </w:r>
      <w:r>
        <w:rPr>
          <w:rFonts w:hint="eastAsia" w:ascii="宋体" w:hAnsi="宋体"/>
          <w:b/>
          <w:color w:val="auto"/>
          <w:sz w:val="36"/>
          <w:szCs w:val="36"/>
        </w:rPr>
        <w:t>度</w:t>
      </w:r>
      <w:r>
        <w:rPr>
          <w:rFonts w:hint="eastAsia" w:ascii="宋体" w:hAnsi="宋体"/>
          <w:b/>
          <w:sz w:val="36"/>
          <w:szCs w:val="36"/>
          <w:lang w:eastAsia="zh-CN"/>
        </w:rPr>
        <w:t>单位</w:t>
      </w:r>
      <w:r>
        <w:rPr>
          <w:rFonts w:hint="eastAsia" w:ascii="宋体" w:hAnsi="宋体"/>
          <w:b/>
          <w:sz w:val="36"/>
          <w:szCs w:val="36"/>
        </w:rPr>
        <w:t>决算</w:t>
      </w:r>
      <w:r>
        <w:rPr>
          <w:rFonts w:ascii="宋体" w:hAnsi="宋体"/>
          <w:b/>
          <w:sz w:val="36"/>
          <w:szCs w:val="36"/>
        </w:rPr>
        <w:t>情况</w:t>
      </w:r>
    </w:p>
    <w:p>
      <w:pPr>
        <w:ind w:firstLine="640" w:firstLineChars="200"/>
        <w:rPr>
          <w:rFonts w:hint="eastAsia" w:ascii="黑体" w:hAnsi="黑体" w:eastAsia="黑体"/>
          <w:szCs w:val="32"/>
        </w:rPr>
      </w:pPr>
    </w:p>
    <w:p>
      <w:pPr>
        <w:ind w:firstLine="640" w:firstLineChars="200"/>
        <w:rPr>
          <w:rFonts w:hint="eastAsia" w:ascii="黑体" w:hAnsi="黑体" w:eastAsia="黑体"/>
          <w:szCs w:val="32"/>
        </w:rPr>
      </w:pPr>
      <w:r>
        <w:rPr>
          <w:rFonts w:hint="eastAsia" w:ascii="黑体" w:hAnsi="黑体" w:eastAsia="黑体"/>
          <w:szCs w:val="32"/>
        </w:rPr>
        <w:t xml:space="preserve">第一部分 </w:t>
      </w:r>
      <w:r>
        <w:rPr>
          <w:rFonts w:hint="eastAsia" w:ascii="黑体" w:hAnsi="黑体" w:eastAsia="黑体"/>
          <w:szCs w:val="32"/>
          <w:lang w:eastAsia="zh-CN"/>
        </w:rPr>
        <w:t>单位</w:t>
      </w:r>
      <w:r>
        <w:rPr>
          <w:rFonts w:hint="eastAsia" w:ascii="黑体" w:hAnsi="黑体" w:eastAsia="黑体"/>
          <w:szCs w:val="32"/>
        </w:rPr>
        <w:t>概况</w:t>
      </w:r>
    </w:p>
    <w:p>
      <w:pPr>
        <w:ind w:firstLine="640" w:firstLineChars="200"/>
        <w:rPr>
          <w:rFonts w:hint="eastAsia" w:ascii="黑体" w:hAnsi="黑体" w:eastAsia="黑体"/>
          <w:szCs w:val="32"/>
        </w:rPr>
      </w:pPr>
      <w:r>
        <w:rPr>
          <w:rFonts w:hint="eastAsia" w:ascii="黑体" w:hAnsi="黑体" w:eastAsia="黑体"/>
          <w:szCs w:val="32"/>
        </w:rPr>
        <w:t>一、主要职责</w:t>
      </w:r>
    </w:p>
    <w:p>
      <w:pPr>
        <w:ind w:firstLine="640" w:firstLineChars="200"/>
        <w:rPr>
          <w:rFonts w:hint="eastAsia" w:ascii="仿宋_GB2312" w:hAnsi="仿宋"/>
          <w:szCs w:val="32"/>
        </w:rPr>
      </w:pPr>
      <w:r>
        <w:rPr>
          <w:rFonts w:hint="eastAsia" w:ascii="仿宋_GB2312" w:hAnsi="仿宋"/>
          <w:szCs w:val="32"/>
        </w:rPr>
        <w:t>市科协是市科学技术工作者的群众组织，是市委领导下的人民团体，是市委、市政府联系全市科学技术工作者的桥梁和纽带，是推动全市科学技术事业发展的重要力量。市科协主要职责为：</w:t>
      </w:r>
    </w:p>
    <w:p>
      <w:pPr>
        <w:ind w:firstLine="640" w:firstLineChars="200"/>
        <w:rPr>
          <w:rFonts w:hint="eastAsia" w:ascii="仿宋_GB2312" w:hAnsi="仿宋"/>
          <w:szCs w:val="32"/>
        </w:rPr>
      </w:pPr>
      <w:r>
        <w:rPr>
          <w:rFonts w:hint="eastAsia" w:ascii="仿宋_GB2312" w:hAnsi="仿宋"/>
          <w:szCs w:val="32"/>
        </w:rPr>
        <w:t>（一）宣传贯彻执行党的路线、方针、政策，密切联系服务科技工作者，反映科技工作者的意见、建议和诉求，维护科技工作者的合法权益，建设科技工作者之家。</w:t>
      </w:r>
    </w:p>
    <w:p>
      <w:pPr>
        <w:ind w:firstLine="640" w:firstLineChars="200"/>
        <w:rPr>
          <w:rFonts w:hint="eastAsia" w:ascii="仿宋_GB2312" w:hAnsi="仿宋"/>
          <w:szCs w:val="32"/>
        </w:rPr>
      </w:pPr>
      <w:r>
        <w:rPr>
          <w:rFonts w:hint="eastAsia" w:ascii="仿宋_GB2312" w:hAnsi="仿宋"/>
          <w:szCs w:val="32"/>
        </w:rPr>
        <w:t>（二）组织科技工作者开展学术交流，健全科学共同体的自律功能，推动建立和完善科学研究诚信监督机制，促进科学道德建设和学风建设，促进学科发展，推进创新体系建设。</w:t>
      </w:r>
    </w:p>
    <w:p>
      <w:pPr>
        <w:ind w:firstLine="640" w:firstLineChars="200"/>
        <w:rPr>
          <w:rFonts w:hint="eastAsia" w:ascii="仿宋_GB2312" w:hAnsi="仿宋"/>
          <w:szCs w:val="32"/>
        </w:rPr>
      </w:pPr>
      <w:r>
        <w:rPr>
          <w:rFonts w:hint="eastAsia" w:ascii="仿宋_GB2312" w:hAnsi="仿宋"/>
          <w:szCs w:val="32"/>
        </w:rPr>
        <w:t>（三）组织科技工作者服务企业技术创新，加快科技成果转化应用，推动企业自主创新能力提升，为创新驱动发展服务。</w:t>
      </w:r>
    </w:p>
    <w:p>
      <w:pPr>
        <w:ind w:firstLine="640" w:firstLineChars="200"/>
        <w:rPr>
          <w:rFonts w:hint="eastAsia" w:ascii="仿宋_GB2312" w:hAnsi="仿宋"/>
          <w:szCs w:val="32"/>
        </w:rPr>
      </w:pPr>
      <w:r>
        <w:rPr>
          <w:rFonts w:hint="eastAsia" w:ascii="仿宋_GB2312" w:hAnsi="仿宋"/>
          <w:szCs w:val="32"/>
        </w:rPr>
        <w:t>（四）会同有关方面共同推进全民科学素质建设，组织开展群众性、社会性、经常性的科普活动，支持有关社会组织和企业事业单位开展科普活动，激励在科普工作中做出重要贡献的组织和个人，为提高全民科学素质服务。</w:t>
      </w:r>
    </w:p>
    <w:p>
      <w:pPr>
        <w:ind w:firstLine="640" w:firstLineChars="200"/>
        <w:rPr>
          <w:rFonts w:hint="eastAsia" w:ascii="仿宋_GB2312" w:hAnsi="仿宋"/>
          <w:szCs w:val="32"/>
        </w:rPr>
      </w:pPr>
      <w:r>
        <w:rPr>
          <w:rFonts w:hint="eastAsia" w:ascii="仿宋_GB2312" w:hAnsi="仿宋"/>
          <w:szCs w:val="32"/>
        </w:rPr>
        <w:t>（五）举荐科技人才，宣传激励优秀科技工作者，培育科学文化，践行社会主义核心价值观。</w:t>
      </w:r>
    </w:p>
    <w:p>
      <w:pPr>
        <w:ind w:firstLine="640" w:firstLineChars="200"/>
        <w:rPr>
          <w:rFonts w:hint="eastAsia" w:ascii="仿宋_GB2312" w:hAnsi="仿宋"/>
          <w:szCs w:val="32"/>
        </w:rPr>
      </w:pPr>
      <w:r>
        <w:rPr>
          <w:rFonts w:hint="eastAsia" w:ascii="仿宋_GB2312" w:hAnsi="仿宋"/>
          <w:szCs w:val="32"/>
        </w:rPr>
        <w:t>（六）组织科技工作者参与科技规划、政策、法规的咨询制定，开展决策咨询和建言献策活动，建设高水平科技创新智库，为市委、市政府科学决策服务。</w:t>
      </w:r>
    </w:p>
    <w:p>
      <w:pPr>
        <w:ind w:firstLine="640" w:firstLineChars="200"/>
        <w:rPr>
          <w:rFonts w:hint="eastAsia" w:ascii="仿宋_GB2312" w:hAnsi="仿宋"/>
          <w:szCs w:val="32"/>
        </w:rPr>
      </w:pPr>
      <w:r>
        <w:rPr>
          <w:rFonts w:hint="eastAsia" w:ascii="仿宋_GB2312" w:hAnsi="仿宋"/>
          <w:szCs w:val="32"/>
        </w:rPr>
        <w:t>（七）依法监督、管理市级科学技术团体，组织所属市级学会有序承接科技评估、人才培训、科技奖励推荐等政府委托工作或转移职能。</w:t>
      </w:r>
    </w:p>
    <w:p>
      <w:pPr>
        <w:ind w:firstLine="640" w:firstLineChars="200"/>
        <w:rPr>
          <w:rFonts w:hint="eastAsia" w:ascii="仿宋_GB2312" w:hAnsi="仿宋"/>
          <w:szCs w:val="32"/>
        </w:rPr>
      </w:pPr>
      <w:r>
        <w:rPr>
          <w:rFonts w:hint="eastAsia" w:ascii="仿宋_GB2312" w:hAnsi="仿宋"/>
          <w:szCs w:val="32"/>
        </w:rPr>
        <w:t>（八）开展民间国际科技交流活动，促进国际科技合作，发展同国（境）外科技团体和科技工作者的友好交往，为海外科技人才来蚌创新创业服务。</w:t>
      </w:r>
    </w:p>
    <w:p>
      <w:pPr>
        <w:ind w:firstLine="640" w:firstLineChars="200"/>
        <w:rPr>
          <w:rFonts w:hint="eastAsia" w:ascii="仿宋_GB2312" w:hAnsi="仿宋"/>
          <w:szCs w:val="32"/>
        </w:rPr>
      </w:pPr>
      <w:r>
        <w:rPr>
          <w:rFonts w:hint="eastAsia" w:ascii="仿宋_GB2312" w:hAnsi="仿宋"/>
          <w:szCs w:val="32"/>
        </w:rPr>
        <w:t>（九）指导全市反邪教协会工作，开展捍卫科学尊严和反对愚</w:t>
      </w:r>
      <w:r>
        <w:rPr>
          <w:rFonts w:hint="eastAsia" w:ascii="仿宋_GB2312" w:hAnsi="仿宋"/>
          <w:szCs w:val="32"/>
          <w:lang w:eastAsia="zh-CN"/>
        </w:rPr>
        <w:t>昧</w:t>
      </w:r>
      <w:r>
        <w:rPr>
          <w:rFonts w:hint="eastAsia" w:ascii="仿宋_GB2312" w:hAnsi="仿宋"/>
          <w:szCs w:val="32"/>
        </w:rPr>
        <w:t>迷信、伪科学、反科学的活动。</w:t>
      </w:r>
    </w:p>
    <w:p>
      <w:pPr>
        <w:ind w:firstLine="640" w:firstLineChars="200"/>
        <w:rPr>
          <w:rFonts w:hint="eastAsia" w:ascii="仿宋_GB2312" w:hAnsi="仿宋"/>
          <w:szCs w:val="32"/>
        </w:rPr>
      </w:pPr>
      <w:r>
        <w:rPr>
          <w:rFonts w:hint="eastAsia" w:ascii="仿宋_GB2312" w:hAnsi="仿宋"/>
          <w:szCs w:val="32"/>
        </w:rPr>
        <w:t>（十）</w:t>
      </w:r>
      <w:r>
        <w:rPr>
          <w:rFonts w:hint="eastAsia" w:ascii="仿宋_GB2312" w:hAnsi="仿宋"/>
          <w:szCs w:val="32"/>
          <w:lang w:eastAsia="zh-CN"/>
        </w:rPr>
        <w:t>完成</w:t>
      </w:r>
      <w:r>
        <w:rPr>
          <w:rFonts w:hint="eastAsia" w:ascii="仿宋_GB2312" w:hAnsi="仿宋"/>
          <w:szCs w:val="32"/>
        </w:rPr>
        <w:t>市委、市政府及上级科协交办的其他</w:t>
      </w:r>
      <w:r>
        <w:rPr>
          <w:rFonts w:hint="eastAsia" w:ascii="仿宋_GB2312" w:hAnsi="仿宋"/>
          <w:szCs w:val="32"/>
          <w:lang w:eastAsia="zh-CN"/>
        </w:rPr>
        <w:t>任务</w:t>
      </w:r>
      <w:r>
        <w:rPr>
          <w:rFonts w:hint="eastAsia" w:ascii="仿宋_GB2312" w:hAnsi="仿宋"/>
          <w:szCs w:val="32"/>
        </w:rPr>
        <w:t>。</w:t>
      </w:r>
    </w:p>
    <w:p>
      <w:pPr>
        <w:ind w:firstLine="640" w:firstLineChars="200"/>
        <w:rPr>
          <w:rFonts w:hint="eastAsia" w:ascii="黑体" w:hAnsi="黑体" w:eastAsia="黑体"/>
          <w:szCs w:val="32"/>
        </w:rPr>
      </w:pPr>
      <w:r>
        <w:rPr>
          <w:rFonts w:hint="eastAsia" w:ascii="黑体" w:hAnsi="黑体" w:eastAsia="黑体"/>
          <w:szCs w:val="32"/>
        </w:rPr>
        <w:t>二、单位决算构成</w:t>
      </w:r>
    </w:p>
    <w:p>
      <w:pPr>
        <w:ind w:firstLine="640" w:firstLineChars="200"/>
        <w:jc w:val="both"/>
        <w:rPr>
          <w:rFonts w:hint="eastAsia" w:ascii="仿宋_GB2312" w:hAnsi="仿宋"/>
          <w:color w:val="auto"/>
          <w:szCs w:val="32"/>
        </w:rPr>
      </w:pPr>
      <w:r>
        <w:rPr>
          <w:rFonts w:hint="eastAsia" w:ascii="仿宋_GB2312" w:hAnsi="仿宋"/>
          <w:color w:val="auto"/>
          <w:szCs w:val="32"/>
        </w:rPr>
        <w:t>从决算单位构成看，</w:t>
      </w:r>
      <w:r>
        <w:rPr>
          <w:rFonts w:hint="eastAsia" w:ascii="仿宋_GB2312" w:hAnsi="仿宋"/>
          <w:color w:val="auto"/>
          <w:szCs w:val="32"/>
          <w:lang w:eastAsia="zh-CN"/>
        </w:rPr>
        <w:t>蚌埠市科协本级为科协机关部门，属于行政单位，无下设其他单位。</w:t>
      </w:r>
    </w:p>
    <w:p>
      <w:pPr>
        <w:ind w:firstLine="640" w:firstLineChars="200"/>
        <w:rPr>
          <w:rFonts w:hint="eastAsia" w:ascii="仿宋_GB2312" w:hAnsi="仿宋"/>
          <w:color w:val="auto"/>
          <w:szCs w:val="32"/>
        </w:rPr>
      </w:pPr>
      <w:r>
        <w:rPr>
          <w:rFonts w:hint="eastAsia" w:ascii="仿宋_GB2312" w:hAnsi="仿宋"/>
          <w:color w:val="auto"/>
          <w:szCs w:val="32"/>
        </w:rPr>
        <w:t>纳入</w:t>
      </w:r>
      <w:r>
        <w:rPr>
          <w:rFonts w:hint="eastAsia" w:ascii="仿宋_GB2312" w:hAnsi="仿宋"/>
          <w:color w:val="auto"/>
          <w:szCs w:val="32"/>
          <w:lang w:eastAsia="zh-CN"/>
        </w:rPr>
        <w:t>蚌埠市科协本级</w:t>
      </w:r>
      <w:r>
        <w:rPr>
          <w:rFonts w:hint="eastAsia" w:ascii="仿宋_GB2312" w:hAnsi="仿宋"/>
          <w:color w:val="auto"/>
          <w:szCs w:val="32"/>
        </w:rPr>
        <w:t>2020年度决算编制范围的单位共</w:t>
      </w:r>
      <w:r>
        <w:rPr>
          <w:rFonts w:hint="eastAsia" w:ascii="仿宋_GB2312" w:hAnsi="仿宋"/>
          <w:color w:val="auto"/>
          <w:szCs w:val="32"/>
          <w:lang w:val="en-US" w:eastAsia="zh-CN"/>
        </w:rPr>
        <w:t>1</w:t>
      </w:r>
      <w:r>
        <w:rPr>
          <w:rFonts w:hint="eastAsia" w:ascii="仿宋_GB2312" w:hAnsi="仿宋"/>
          <w:color w:val="auto"/>
          <w:szCs w:val="32"/>
        </w:rPr>
        <w:t>个，详细情况见下表：</w:t>
      </w:r>
    </w:p>
    <w:tbl>
      <w:tblPr>
        <w:tblStyle w:val="3"/>
        <w:tblW w:w="0" w:type="auto"/>
        <w:tblInd w:w="828" w:type="dxa"/>
        <w:shd w:val="clear" w:color="auto" w:fill="FFFFFF"/>
        <w:tblLayout w:type="fixed"/>
        <w:tblCellMar>
          <w:top w:w="0" w:type="dxa"/>
          <w:left w:w="0" w:type="dxa"/>
          <w:bottom w:w="0" w:type="dxa"/>
          <w:right w:w="0" w:type="dxa"/>
        </w:tblCellMar>
      </w:tblPr>
      <w:tblGrid>
        <w:gridCol w:w="1389"/>
        <w:gridCol w:w="5837"/>
      </w:tblGrid>
      <w:tr>
        <w:tblPrEx>
          <w:shd w:val="clear" w:color="auto" w:fill="FFFFFF"/>
          <w:tblCellMar>
            <w:top w:w="0" w:type="dxa"/>
            <w:left w:w="0" w:type="dxa"/>
            <w:bottom w:w="0" w:type="dxa"/>
            <w:right w:w="0" w:type="dxa"/>
          </w:tblCellMar>
        </w:tblPrEx>
        <w:trPr>
          <w:trHeight w:val="397" w:hRule="exact"/>
        </w:trPr>
        <w:tc>
          <w:tcPr>
            <w:tcW w:w="1389"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eastAsia" w:ascii="宋体" w:hAnsi="宋体"/>
                <w:sz w:val="24"/>
              </w:rPr>
            </w:pPr>
            <w:r>
              <w:rPr>
                <w:rFonts w:hint="eastAsia" w:ascii="宋体" w:hAnsi="宋体"/>
                <w:sz w:val="24"/>
              </w:rPr>
              <w:t>序号</w:t>
            </w:r>
          </w:p>
        </w:tc>
        <w:tc>
          <w:tcPr>
            <w:tcW w:w="5837"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eastAsia" w:ascii="宋体" w:hAnsi="宋体"/>
                <w:sz w:val="24"/>
              </w:rPr>
            </w:pPr>
            <w:r>
              <w:rPr>
                <w:rFonts w:hint="eastAsia" w:ascii="宋体" w:hAnsi="宋体"/>
                <w:sz w:val="24"/>
              </w:rPr>
              <w:t>单位名称</w:t>
            </w:r>
          </w:p>
        </w:tc>
      </w:tr>
      <w:tr>
        <w:tblPrEx>
          <w:tblCellMar>
            <w:top w:w="0" w:type="dxa"/>
            <w:left w:w="0" w:type="dxa"/>
            <w:bottom w:w="0" w:type="dxa"/>
            <w:right w:w="0" w:type="dxa"/>
          </w:tblCellMar>
        </w:tblPrEx>
        <w:trPr>
          <w:trHeight w:val="397" w:hRule="exact"/>
        </w:trPr>
        <w:tc>
          <w:tcPr>
            <w:tcW w:w="1389"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eastAsia" w:ascii="宋体" w:hAnsi="宋体" w:cs="宋体"/>
                <w:sz w:val="24"/>
              </w:rPr>
            </w:pPr>
            <w:r>
              <w:rPr>
                <w:rFonts w:hint="eastAsia" w:ascii="宋体" w:hAnsi="宋体"/>
                <w:sz w:val="24"/>
              </w:rPr>
              <w:t>1</w:t>
            </w:r>
          </w:p>
        </w:tc>
        <w:tc>
          <w:tcPr>
            <w:tcW w:w="5837"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rPr>
                <w:rFonts w:hint="eastAsia" w:ascii="宋体" w:hAnsi="宋体" w:eastAsia="仿宋_GB2312"/>
                <w:sz w:val="24"/>
                <w:lang w:val="en-US" w:eastAsia="zh-CN"/>
              </w:rPr>
            </w:pPr>
            <w:r>
              <w:rPr>
                <w:rFonts w:hint="eastAsia" w:ascii="宋体" w:hAnsi="宋体"/>
                <w:sz w:val="24"/>
                <w:lang w:eastAsia="zh-CN"/>
              </w:rPr>
              <w:t>蚌埠市科学技术协会本级</w:t>
            </w:r>
          </w:p>
        </w:tc>
      </w:tr>
    </w:tbl>
    <w:p>
      <w:pPr>
        <w:ind w:firstLine="640" w:firstLineChars="200"/>
        <w:rPr>
          <w:rFonts w:hint="eastAsia" w:ascii="仿宋_GB2312" w:hAnsi="黑体"/>
          <w:szCs w:val="32"/>
        </w:rPr>
      </w:pPr>
    </w:p>
    <w:p>
      <w:pPr>
        <w:numPr>
          <w:ilvl w:val="0"/>
          <w:numId w:val="1"/>
        </w:numPr>
        <w:ind w:firstLine="640" w:firstLineChars="200"/>
        <w:rPr>
          <w:rFonts w:hint="eastAsia" w:ascii="黑体" w:hAnsi="黑体" w:eastAsia="黑体"/>
          <w:szCs w:val="32"/>
        </w:rPr>
      </w:pPr>
      <w:r>
        <w:rPr>
          <w:rFonts w:hint="eastAsia" w:ascii="黑体" w:hAnsi="黑体" w:eastAsia="黑体"/>
          <w:szCs w:val="32"/>
        </w:rPr>
        <w:t>2020年</w:t>
      </w:r>
      <w:r>
        <w:rPr>
          <w:rFonts w:hint="eastAsia" w:ascii="黑体" w:hAnsi="黑体" w:eastAsia="黑体"/>
          <w:color w:val="auto"/>
          <w:szCs w:val="32"/>
        </w:rPr>
        <w:t>度</w:t>
      </w:r>
      <w:r>
        <w:rPr>
          <w:rFonts w:hint="eastAsia" w:ascii="黑体" w:hAnsi="黑体" w:eastAsia="黑体"/>
          <w:szCs w:val="32"/>
        </w:rPr>
        <w:t>单位决算表</w:t>
      </w:r>
    </w:p>
    <w:p>
      <w:pPr>
        <w:ind w:firstLine="640" w:firstLineChars="200"/>
        <w:rPr>
          <w:rFonts w:hint="default" w:ascii="仿宋_GB2312" w:hAnsi="仿宋" w:cs="Times New Roman"/>
          <w:color w:val="auto"/>
          <w:szCs w:val="32"/>
          <w:lang w:val="en-US" w:eastAsia="zh-CN"/>
        </w:rPr>
      </w:pPr>
      <w:r>
        <w:rPr>
          <w:rFonts w:hint="eastAsia" w:ascii="仿宋_GB2312" w:hAnsi="仿宋" w:cs="Times New Roman"/>
          <w:color w:val="auto"/>
          <w:szCs w:val="32"/>
          <w:lang w:val="en-US" w:eastAsia="zh-CN"/>
        </w:rPr>
        <w:t>蚌埠市科协本级2020年度单位决算报表由以下表格构成，具体表格内容见附件。</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1.</w:t>
      </w:r>
      <w:r>
        <w:rPr>
          <w:rFonts w:hint="eastAsia" w:ascii="仿宋_GB2312" w:hAnsi="仿宋" w:cs="Times New Roman"/>
          <w:color w:val="auto"/>
          <w:szCs w:val="32"/>
          <w:lang w:eastAsia="zh-CN"/>
        </w:rPr>
        <w:t>收入支出决算总表</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2.</w:t>
      </w:r>
      <w:r>
        <w:rPr>
          <w:rFonts w:hint="eastAsia" w:ascii="仿宋_GB2312" w:hAnsi="仿宋" w:cs="Times New Roman"/>
          <w:color w:val="auto"/>
          <w:szCs w:val="32"/>
          <w:lang w:eastAsia="zh-CN"/>
        </w:rPr>
        <w:t>收入决算表</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3.</w:t>
      </w:r>
      <w:r>
        <w:rPr>
          <w:rFonts w:hint="eastAsia" w:ascii="仿宋_GB2312" w:hAnsi="仿宋" w:cs="Times New Roman"/>
          <w:color w:val="auto"/>
          <w:szCs w:val="32"/>
          <w:lang w:eastAsia="zh-CN"/>
        </w:rPr>
        <w:t>支出决算表</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4.</w:t>
      </w:r>
      <w:r>
        <w:rPr>
          <w:rFonts w:hint="eastAsia" w:ascii="仿宋_GB2312" w:hAnsi="仿宋" w:cs="Times New Roman"/>
          <w:color w:val="auto"/>
          <w:szCs w:val="32"/>
          <w:lang w:eastAsia="zh-CN"/>
        </w:rPr>
        <w:t>财政拨款收入支出决算总表</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5.</w:t>
      </w:r>
      <w:r>
        <w:rPr>
          <w:rFonts w:hint="eastAsia" w:ascii="仿宋_GB2312" w:hAnsi="仿宋" w:cs="Times New Roman"/>
          <w:color w:val="auto"/>
          <w:szCs w:val="32"/>
          <w:lang w:eastAsia="zh-CN"/>
        </w:rPr>
        <w:t>一般公共预算财政拨款支出决算表</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6.</w:t>
      </w:r>
      <w:r>
        <w:rPr>
          <w:rFonts w:hint="eastAsia" w:ascii="仿宋_GB2312" w:hAnsi="仿宋" w:cs="Times New Roman"/>
          <w:color w:val="auto"/>
          <w:szCs w:val="32"/>
          <w:lang w:eastAsia="zh-CN"/>
        </w:rPr>
        <w:t>一般公共预算财政拨款基本支出决算表</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7.</w:t>
      </w:r>
      <w:r>
        <w:rPr>
          <w:rFonts w:hint="eastAsia" w:ascii="仿宋_GB2312" w:hAnsi="仿宋" w:cs="Times New Roman"/>
          <w:color w:val="auto"/>
          <w:szCs w:val="32"/>
          <w:lang w:eastAsia="zh-CN"/>
        </w:rPr>
        <w:t>政府性基金预算财政拨款收入支出决算表</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8.</w:t>
      </w:r>
      <w:r>
        <w:rPr>
          <w:rFonts w:hint="eastAsia" w:ascii="仿宋_GB2312" w:hAnsi="仿宋" w:cs="Times New Roman"/>
          <w:color w:val="auto"/>
          <w:szCs w:val="32"/>
          <w:lang w:eastAsia="zh-CN"/>
        </w:rPr>
        <w:t>国有资本经营预算财政拨款支出决算表</w:t>
      </w:r>
    </w:p>
    <w:p>
      <w:pPr>
        <w:ind w:firstLine="640" w:firstLineChars="200"/>
        <w:rPr>
          <w:rFonts w:hint="eastAsia" w:ascii="黑体" w:hAnsi="黑体" w:eastAsia="黑体"/>
          <w:szCs w:val="32"/>
        </w:rPr>
      </w:pPr>
    </w:p>
    <w:p>
      <w:pPr>
        <w:ind w:firstLine="640" w:firstLineChars="200"/>
        <w:rPr>
          <w:rFonts w:hint="eastAsia" w:ascii="黑体" w:hAnsi="黑体" w:eastAsia="黑体"/>
          <w:szCs w:val="32"/>
        </w:rPr>
      </w:pPr>
      <w:r>
        <w:rPr>
          <w:rFonts w:hint="eastAsia" w:ascii="黑体" w:hAnsi="黑体" w:eastAsia="黑体"/>
          <w:szCs w:val="32"/>
        </w:rPr>
        <w:t>第三部分 2020年度</w:t>
      </w:r>
      <w:r>
        <w:rPr>
          <w:rFonts w:hint="eastAsia" w:ascii="黑体" w:hAnsi="黑体" w:eastAsia="黑体"/>
          <w:szCs w:val="32"/>
          <w:lang w:eastAsia="zh-CN"/>
        </w:rPr>
        <w:t>单位</w:t>
      </w:r>
      <w:r>
        <w:rPr>
          <w:rFonts w:hint="eastAsia" w:ascii="黑体" w:hAnsi="黑体" w:eastAsia="黑体"/>
          <w:szCs w:val="32"/>
        </w:rPr>
        <w:t>决算情况说明</w:t>
      </w:r>
    </w:p>
    <w:p>
      <w:pPr>
        <w:ind w:firstLine="640" w:firstLineChars="200"/>
        <w:rPr>
          <w:rFonts w:hint="eastAsia" w:ascii="黑体" w:hAnsi="黑体" w:eastAsia="黑体"/>
          <w:szCs w:val="32"/>
        </w:rPr>
      </w:pPr>
      <w:r>
        <w:rPr>
          <w:rFonts w:hint="eastAsia" w:ascii="黑体" w:hAnsi="黑体" w:eastAsia="黑体"/>
          <w:szCs w:val="32"/>
        </w:rPr>
        <w:t>一、收入支出决算总体情况说明</w:t>
      </w:r>
    </w:p>
    <w:p>
      <w:pPr>
        <w:ind w:firstLine="640" w:firstLineChars="200"/>
        <w:rPr>
          <w:rFonts w:hint="eastAsia" w:ascii="仿宋_GB2312" w:hAnsi="仿宋"/>
          <w:szCs w:val="32"/>
        </w:rPr>
      </w:pPr>
      <w:r>
        <w:rPr>
          <w:rFonts w:hint="eastAsia" w:ascii="仿宋_GB2312" w:hAnsi="仿宋"/>
          <w:szCs w:val="32"/>
        </w:rPr>
        <w:t>2020年度收入总计</w:t>
      </w:r>
      <w:r>
        <w:rPr>
          <w:rFonts w:hint="eastAsia" w:ascii="仿宋_GB2312" w:hAnsi="仿宋"/>
          <w:szCs w:val="32"/>
          <w:lang w:val="en-US" w:eastAsia="zh-CN"/>
        </w:rPr>
        <w:t>509.21</w:t>
      </w:r>
      <w:r>
        <w:rPr>
          <w:rFonts w:hint="eastAsia" w:ascii="仿宋_GB2312" w:hAnsi="仿宋"/>
          <w:szCs w:val="32"/>
        </w:rPr>
        <w:t>万元（含使用非财政拨款结转结余和年初结转结余）、支出总计</w:t>
      </w:r>
      <w:r>
        <w:rPr>
          <w:rFonts w:hint="eastAsia" w:ascii="仿宋_GB2312" w:hAnsi="仿宋"/>
          <w:szCs w:val="32"/>
          <w:lang w:val="en-US" w:eastAsia="zh-CN"/>
        </w:rPr>
        <w:t>509.21</w:t>
      </w:r>
      <w:r>
        <w:rPr>
          <w:rFonts w:hint="eastAsia" w:ascii="仿宋_GB2312" w:hAnsi="仿宋"/>
          <w:szCs w:val="32"/>
        </w:rPr>
        <w:t>万元（含结余分配和年末结转结余）。与2019年相比，收、支总计各减少</w:t>
      </w:r>
      <w:r>
        <w:rPr>
          <w:rFonts w:hint="eastAsia" w:ascii="仿宋_GB2312" w:hAnsi="仿宋"/>
          <w:szCs w:val="32"/>
          <w:lang w:val="en-US" w:eastAsia="zh-CN"/>
        </w:rPr>
        <w:t>5.49</w:t>
      </w:r>
      <w:r>
        <w:rPr>
          <w:rFonts w:hint="eastAsia" w:ascii="仿宋_GB2312" w:hAnsi="仿宋"/>
          <w:szCs w:val="32"/>
        </w:rPr>
        <w:t>万元，下降</w:t>
      </w:r>
      <w:r>
        <w:rPr>
          <w:rFonts w:hint="eastAsia" w:ascii="仿宋_GB2312" w:hAnsi="仿宋"/>
          <w:szCs w:val="32"/>
          <w:lang w:val="en-US" w:eastAsia="zh-CN"/>
        </w:rPr>
        <w:t>1.1</w:t>
      </w:r>
      <w:r>
        <w:rPr>
          <w:rFonts w:hint="eastAsia" w:ascii="仿宋_GB2312" w:hAnsi="仿宋"/>
          <w:szCs w:val="32"/>
        </w:rPr>
        <w:t>%，主要原因是</w:t>
      </w:r>
      <w:r>
        <w:rPr>
          <w:rFonts w:hint="eastAsia" w:ascii="仿宋_GB2312" w:hAnsi="仿宋"/>
          <w:szCs w:val="32"/>
          <w:lang w:eastAsia="zh-CN"/>
        </w:rPr>
        <w:t>省科协减少基层科普行动计划资金</w:t>
      </w:r>
      <w:r>
        <w:rPr>
          <w:rFonts w:hint="eastAsia" w:ascii="仿宋_GB2312" w:hAnsi="仿宋"/>
          <w:szCs w:val="32"/>
        </w:rPr>
        <w:t>。</w:t>
      </w:r>
    </w:p>
    <w:p>
      <w:pPr>
        <w:ind w:firstLine="640" w:firstLineChars="200"/>
        <w:rPr>
          <w:rFonts w:hint="eastAsia" w:ascii="黑体" w:hAnsi="仿宋" w:eastAsia="黑体"/>
          <w:szCs w:val="32"/>
        </w:rPr>
      </w:pPr>
      <w:r>
        <w:rPr>
          <w:rFonts w:hint="eastAsia" w:ascii="黑体" w:hAnsi="仿宋" w:eastAsia="黑体"/>
          <w:szCs w:val="32"/>
        </w:rPr>
        <w:t>二、收入决算情况说明</w:t>
      </w:r>
    </w:p>
    <w:p>
      <w:pPr>
        <w:ind w:firstLine="640" w:firstLineChars="200"/>
        <w:rPr>
          <w:rFonts w:hint="eastAsia" w:ascii="仿宋_GB2312" w:hAnsi="仿宋"/>
          <w:szCs w:val="32"/>
        </w:rPr>
      </w:pPr>
      <w:r>
        <w:rPr>
          <w:rFonts w:hint="eastAsia" w:ascii="仿宋_GB2312" w:hAnsi="仿宋"/>
          <w:szCs w:val="32"/>
        </w:rPr>
        <w:t>2020年度收入合计</w:t>
      </w:r>
      <w:r>
        <w:rPr>
          <w:rFonts w:hint="eastAsia" w:ascii="仿宋_GB2312" w:hAnsi="仿宋"/>
          <w:szCs w:val="32"/>
          <w:lang w:val="en-US" w:eastAsia="zh-CN"/>
        </w:rPr>
        <w:t>509.21</w:t>
      </w:r>
      <w:r>
        <w:rPr>
          <w:rFonts w:hint="eastAsia" w:ascii="仿宋_GB2312" w:hAnsi="仿宋"/>
          <w:szCs w:val="32"/>
        </w:rPr>
        <w:t>万元，其中：财政拨款收入</w:t>
      </w:r>
      <w:r>
        <w:rPr>
          <w:rFonts w:hint="eastAsia" w:ascii="仿宋_GB2312" w:hAnsi="仿宋"/>
          <w:szCs w:val="32"/>
          <w:lang w:val="en-US" w:eastAsia="zh-CN"/>
        </w:rPr>
        <w:t>474</w:t>
      </w:r>
      <w:r>
        <w:rPr>
          <w:rFonts w:hint="eastAsia" w:ascii="仿宋_GB2312" w:hAnsi="仿宋"/>
          <w:szCs w:val="32"/>
        </w:rPr>
        <w:t>万元，占</w:t>
      </w:r>
      <w:r>
        <w:rPr>
          <w:rFonts w:hint="eastAsia" w:ascii="仿宋_GB2312" w:hAnsi="仿宋"/>
          <w:szCs w:val="32"/>
          <w:lang w:val="en-US" w:eastAsia="zh-CN"/>
        </w:rPr>
        <w:t>93.1</w:t>
      </w:r>
      <w:r>
        <w:rPr>
          <w:rFonts w:hint="eastAsia" w:ascii="仿宋_GB2312" w:hAnsi="仿宋"/>
          <w:szCs w:val="32"/>
        </w:rPr>
        <w:t>%；事业收入</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%；经营收入</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%；其他收入</w:t>
      </w:r>
      <w:r>
        <w:rPr>
          <w:rFonts w:hint="eastAsia" w:ascii="仿宋_GB2312" w:hAnsi="仿宋"/>
          <w:szCs w:val="32"/>
          <w:lang w:val="en-US" w:eastAsia="zh-CN"/>
        </w:rPr>
        <w:t>35.14</w:t>
      </w:r>
      <w:r>
        <w:rPr>
          <w:rFonts w:hint="eastAsia" w:ascii="仿宋_GB2312" w:hAnsi="仿宋"/>
          <w:szCs w:val="32"/>
        </w:rPr>
        <w:t>万元，占</w:t>
      </w:r>
      <w:r>
        <w:rPr>
          <w:rFonts w:hint="eastAsia" w:ascii="仿宋_GB2312" w:hAnsi="仿宋"/>
          <w:szCs w:val="32"/>
          <w:lang w:val="en-US" w:eastAsia="zh-CN"/>
        </w:rPr>
        <w:t>6.9</w:t>
      </w:r>
      <w:r>
        <w:rPr>
          <w:rFonts w:hint="eastAsia" w:ascii="仿宋_GB2312" w:hAnsi="仿宋"/>
          <w:szCs w:val="32"/>
        </w:rPr>
        <w:t>%。</w:t>
      </w:r>
    </w:p>
    <w:p>
      <w:pPr>
        <w:ind w:firstLine="640" w:firstLineChars="200"/>
        <w:rPr>
          <w:rFonts w:hint="eastAsia" w:ascii="黑体" w:hAnsi="仿宋" w:eastAsia="黑体"/>
          <w:szCs w:val="32"/>
        </w:rPr>
      </w:pPr>
      <w:r>
        <w:rPr>
          <w:rFonts w:hint="eastAsia" w:ascii="黑体" w:hAnsi="仿宋" w:eastAsia="黑体"/>
          <w:szCs w:val="32"/>
        </w:rPr>
        <w:t>三、支出决算情况说明</w:t>
      </w:r>
    </w:p>
    <w:p>
      <w:pPr>
        <w:ind w:firstLine="640" w:firstLineChars="200"/>
        <w:rPr>
          <w:rFonts w:hint="eastAsia" w:ascii="仿宋_GB2312" w:hAnsi="仿宋"/>
          <w:szCs w:val="32"/>
        </w:rPr>
      </w:pPr>
      <w:r>
        <w:rPr>
          <w:rFonts w:hint="eastAsia" w:ascii="仿宋_GB2312" w:hAnsi="仿宋"/>
          <w:szCs w:val="32"/>
        </w:rPr>
        <w:t>2020年度支出合计</w:t>
      </w:r>
      <w:r>
        <w:rPr>
          <w:rFonts w:hint="eastAsia" w:ascii="仿宋_GB2312" w:hAnsi="仿宋"/>
          <w:szCs w:val="32"/>
          <w:lang w:val="en-US" w:eastAsia="zh-CN"/>
        </w:rPr>
        <w:t>506.51</w:t>
      </w:r>
      <w:r>
        <w:rPr>
          <w:rFonts w:hint="eastAsia" w:ascii="仿宋_GB2312" w:hAnsi="仿宋"/>
          <w:szCs w:val="32"/>
        </w:rPr>
        <w:t>万元，其中：基本支出</w:t>
      </w:r>
      <w:r>
        <w:rPr>
          <w:rFonts w:hint="eastAsia" w:ascii="仿宋_GB2312" w:hAnsi="仿宋"/>
          <w:szCs w:val="32"/>
          <w:lang w:val="en-US" w:eastAsia="zh-CN"/>
        </w:rPr>
        <w:t>336.2</w:t>
      </w:r>
      <w:r>
        <w:rPr>
          <w:rFonts w:hint="eastAsia" w:ascii="仿宋_GB2312" w:hAnsi="仿宋"/>
          <w:szCs w:val="32"/>
        </w:rPr>
        <w:t>万元，占</w:t>
      </w:r>
      <w:r>
        <w:rPr>
          <w:rFonts w:hint="eastAsia" w:ascii="仿宋_GB2312" w:hAnsi="仿宋"/>
          <w:szCs w:val="32"/>
          <w:lang w:val="en-US" w:eastAsia="zh-CN"/>
        </w:rPr>
        <w:t>66.4</w:t>
      </w:r>
      <w:r>
        <w:rPr>
          <w:rFonts w:hint="eastAsia" w:ascii="仿宋_GB2312" w:hAnsi="仿宋"/>
          <w:szCs w:val="32"/>
        </w:rPr>
        <w:t>%；项目支出</w:t>
      </w:r>
      <w:r>
        <w:rPr>
          <w:rFonts w:hint="eastAsia" w:ascii="仿宋_GB2312" w:hAnsi="仿宋"/>
          <w:szCs w:val="32"/>
          <w:lang w:val="en-US" w:eastAsia="zh-CN"/>
        </w:rPr>
        <w:t>170.31</w:t>
      </w:r>
      <w:r>
        <w:rPr>
          <w:rFonts w:hint="eastAsia" w:ascii="仿宋_GB2312" w:hAnsi="仿宋"/>
          <w:szCs w:val="32"/>
        </w:rPr>
        <w:t>万元，占</w:t>
      </w:r>
      <w:r>
        <w:rPr>
          <w:rFonts w:hint="eastAsia" w:ascii="仿宋_GB2312" w:hAnsi="仿宋"/>
          <w:szCs w:val="32"/>
          <w:lang w:val="en-US" w:eastAsia="zh-CN"/>
        </w:rPr>
        <w:t>33.6</w:t>
      </w:r>
      <w:r>
        <w:rPr>
          <w:rFonts w:hint="eastAsia" w:ascii="仿宋_GB2312" w:hAnsi="仿宋"/>
          <w:szCs w:val="32"/>
        </w:rPr>
        <w:t>%；经营支出</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w:t>
      </w:r>
    </w:p>
    <w:p>
      <w:pPr>
        <w:ind w:firstLine="640" w:firstLineChars="200"/>
        <w:rPr>
          <w:rFonts w:hint="eastAsia" w:ascii="黑体" w:hAnsi="仿宋" w:eastAsia="黑体"/>
          <w:szCs w:val="32"/>
        </w:rPr>
      </w:pPr>
      <w:r>
        <w:rPr>
          <w:rFonts w:hint="eastAsia" w:ascii="黑体" w:hAnsi="仿宋" w:eastAsia="黑体"/>
          <w:szCs w:val="32"/>
        </w:rPr>
        <w:t>四、</w:t>
      </w:r>
      <w:r>
        <w:rPr>
          <w:rFonts w:hint="eastAsia" w:ascii="黑体" w:eastAsia="黑体"/>
          <w:szCs w:val="32"/>
        </w:rPr>
        <w:t>财政拨款收入支出决算总体情况说明</w:t>
      </w:r>
    </w:p>
    <w:p>
      <w:pPr>
        <w:ind w:firstLine="640" w:firstLineChars="200"/>
        <w:rPr>
          <w:rFonts w:hint="eastAsia" w:ascii="仿宋_GB2312" w:hAnsi="仿宋"/>
          <w:color w:val="000000"/>
          <w:szCs w:val="32"/>
        </w:rPr>
      </w:pPr>
      <w:r>
        <w:rPr>
          <w:rFonts w:hint="eastAsia" w:ascii="仿宋_GB2312" w:hAnsi="仿宋"/>
          <w:szCs w:val="32"/>
        </w:rPr>
        <w:t>2020年度财政拨款收入总计</w:t>
      </w:r>
      <w:r>
        <w:rPr>
          <w:rFonts w:hint="eastAsia" w:ascii="仿宋_GB2312" w:hAnsi="仿宋"/>
          <w:szCs w:val="32"/>
          <w:lang w:val="en-US" w:eastAsia="zh-CN"/>
        </w:rPr>
        <w:t>474</w:t>
      </w:r>
      <w:r>
        <w:rPr>
          <w:rFonts w:hint="eastAsia" w:ascii="仿宋_GB2312" w:hAnsi="仿宋"/>
          <w:szCs w:val="32"/>
        </w:rPr>
        <w:t>万元（含年初财政拨款结转结余），支出总计</w:t>
      </w:r>
      <w:r>
        <w:rPr>
          <w:rFonts w:hint="eastAsia" w:ascii="仿宋_GB2312" w:hAnsi="仿宋"/>
          <w:szCs w:val="32"/>
          <w:lang w:val="en-US" w:eastAsia="zh-CN"/>
        </w:rPr>
        <w:t>474</w:t>
      </w:r>
      <w:r>
        <w:rPr>
          <w:rFonts w:hint="eastAsia" w:ascii="仿宋_GB2312" w:hAnsi="仿宋"/>
          <w:szCs w:val="32"/>
        </w:rPr>
        <w:t>万元（含年末财政拨款结转和结余）。与2019年相比，财政拨款收、支总计各减少</w:t>
      </w:r>
      <w:r>
        <w:rPr>
          <w:rFonts w:hint="eastAsia" w:ascii="仿宋_GB2312" w:hAnsi="仿宋"/>
          <w:szCs w:val="32"/>
          <w:lang w:val="en-US" w:eastAsia="zh-CN"/>
        </w:rPr>
        <w:t>38.21</w:t>
      </w:r>
      <w:r>
        <w:rPr>
          <w:rFonts w:hint="eastAsia" w:ascii="仿宋_GB2312" w:hAnsi="仿宋"/>
          <w:szCs w:val="32"/>
        </w:rPr>
        <w:t>万元，下降</w:t>
      </w:r>
      <w:r>
        <w:rPr>
          <w:rFonts w:hint="eastAsia" w:ascii="仿宋_GB2312" w:hAnsi="仿宋"/>
          <w:szCs w:val="32"/>
          <w:lang w:val="en-US" w:eastAsia="zh-CN"/>
        </w:rPr>
        <w:t>7.5</w:t>
      </w:r>
      <w:r>
        <w:rPr>
          <w:rFonts w:hint="eastAsia" w:ascii="仿宋_GB2312" w:hAnsi="仿宋"/>
          <w:szCs w:val="32"/>
        </w:rPr>
        <w:t>%，主要原因是</w:t>
      </w:r>
      <w:r>
        <w:rPr>
          <w:rFonts w:hint="eastAsia" w:ascii="仿宋_GB2312" w:hAnsi="仿宋"/>
          <w:szCs w:val="32"/>
          <w:lang w:eastAsia="zh-CN"/>
        </w:rPr>
        <w:t>省科协减少基层科普行动计划资金</w:t>
      </w:r>
      <w:r>
        <w:rPr>
          <w:rFonts w:hint="eastAsia" w:ascii="仿宋_GB2312" w:hAnsi="仿宋"/>
          <w:color w:val="000000"/>
          <w:szCs w:val="32"/>
        </w:rPr>
        <w:t>。</w:t>
      </w:r>
    </w:p>
    <w:p>
      <w:pPr>
        <w:ind w:firstLine="640" w:firstLineChars="200"/>
        <w:rPr>
          <w:rFonts w:hint="eastAsia" w:ascii="黑体" w:hAnsi="仿宋" w:eastAsia="黑体"/>
          <w:szCs w:val="32"/>
        </w:rPr>
      </w:pPr>
      <w:r>
        <w:rPr>
          <w:rFonts w:hint="eastAsia" w:ascii="黑体" w:hAnsi="仿宋" w:eastAsia="黑体"/>
          <w:szCs w:val="32"/>
        </w:rPr>
        <w:t>五、一般公共预算财政拨款支出决算情况说明</w:t>
      </w:r>
    </w:p>
    <w:p>
      <w:pPr>
        <w:ind w:firstLine="643" w:firstLineChars="200"/>
        <w:rPr>
          <w:rFonts w:hint="eastAsia" w:ascii="仿宋_GB2312" w:hAnsi="仿宋"/>
          <w:b/>
          <w:bCs/>
          <w:szCs w:val="32"/>
        </w:rPr>
      </w:pPr>
      <w:r>
        <w:rPr>
          <w:rFonts w:hint="eastAsia" w:ascii="仿宋_GB2312" w:hAnsi="仿宋"/>
          <w:b/>
          <w:bCs/>
          <w:szCs w:val="32"/>
        </w:rPr>
        <w:t>（一）一般公共预算财政拨款支出决算总体情况。</w:t>
      </w:r>
    </w:p>
    <w:p>
      <w:pPr>
        <w:ind w:firstLine="640" w:firstLineChars="200"/>
        <w:rPr>
          <w:rFonts w:hint="eastAsia" w:ascii="仿宋_GB2312" w:hAnsi="仿宋"/>
          <w:color w:val="000000"/>
          <w:szCs w:val="32"/>
        </w:rPr>
      </w:pPr>
      <w:r>
        <w:rPr>
          <w:rFonts w:hint="eastAsia" w:ascii="仿宋_GB2312" w:hAnsi="仿宋"/>
          <w:szCs w:val="32"/>
        </w:rPr>
        <w:t>2020年度一般公共预算财政拨款支出</w:t>
      </w:r>
      <w:r>
        <w:rPr>
          <w:rFonts w:hint="eastAsia" w:ascii="仿宋_GB2312" w:hAnsi="仿宋"/>
          <w:szCs w:val="32"/>
          <w:lang w:val="en-US" w:eastAsia="zh-CN"/>
        </w:rPr>
        <w:t>474</w:t>
      </w:r>
      <w:r>
        <w:rPr>
          <w:rFonts w:hint="eastAsia" w:ascii="仿宋_GB2312" w:hAnsi="仿宋"/>
          <w:szCs w:val="32"/>
        </w:rPr>
        <w:t>万元，占本年支出的</w:t>
      </w:r>
      <w:r>
        <w:rPr>
          <w:rFonts w:hint="eastAsia" w:ascii="仿宋_GB2312" w:hAnsi="仿宋"/>
          <w:szCs w:val="32"/>
          <w:lang w:val="en-US" w:eastAsia="zh-CN"/>
        </w:rPr>
        <w:t>93.6</w:t>
      </w:r>
      <w:r>
        <w:rPr>
          <w:rFonts w:hint="eastAsia" w:ascii="仿宋_GB2312" w:hAnsi="仿宋"/>
          <w:szCs w:val="32"/>
        </w:rPr>
        <w:t>%。与2019年相比，一般公共预算财政拨款支出减少</w:t>
      </w:r>
      <w:r>
        <w:rPr>
          <w:rFonts w:hint="eastAsia" w:ascii="仿宋_GB2312" w:hAnsi="仿宋"/>
          <w:szCs w:val="32"/>
          <w:lang w:val="en-US" w:eastAsia="zh-CN"/>
        </w:rPr>
        <w:t>38.21</w:t>
      </w:r>
      <w:r>
        <w:rPr>
          <w:rFonts w:hint="eastAsia" w:ascii="仿宋_GB2312" w:hAnsi="仿宋"/>
          <w:szCs w:val="32"/>
        </w:rPr>
        <w:t>万元，下降</w:t>
      </w:r>
      <w:r>
        <w:rPr>
          <w:rFonts w:hint="eastAsia" w:ascii="仿宋_GB2312" w:hAnsi="仿宋"/>
          <w:szCs w:val="32"/>
          <w:lang w:val="en-US" w:eastAsia="zh-CN"/>
        </w:rPr>
        <w:t>7.5</w:t>
      </w:r>
      <w:r>
        <w:rPr>
          <w:rFonts w:hint="eastAsia" w:ascii="仿宋_GB2312" w:hAnsi="仿宋"/>
          <w:szCs w:val="32"/>
        </w:rPr>
        <w:t>%。主要原因是</w:t>
      </w:r>
      <w:r>
        <w:rPr>
          <w:rFonts w:hint="eastAsia" w:ascii="仿宋_GB2312" w:hAnsi="仿宋"/>
          <w:szCs w:val="32"/>
          <w:lang w:eastAsia="zh-CN"/>
        </w:rPr>
        <w:t>省科协减少基层科普行动计划资金</w:t>
      </w:r>
      <w:r>
        <w:rPr>
          <w:rFonts w:hint="eastAsia" w:ascii="仿宋_GB2312" w:hAnsi="仿宋"/>
          <w:color w:val="000000"/>
          <w:szCs w:val="32"/>
        </w:rPr>
        <w:t>。</w:t>
      </w:r>
    </w:p>
    <w:p>
      <w:pPr>
        <w:ind w:firstLine="643" w:firstLineChars="200"/>
        <w:rPr>
          <w:rFonts w:hint="eastAsia" w:ascii="仿宋_GB2312" w:hAnsi="仿宋"/>
          <w:b/>
          <w:szCs w:val="32"/>
        </w:rPr>
      </w:pPr>
      <w:r>
        <w:rPr>
          <w:rFonts w:hint="eastAsia" w:ascii="仿宋_GB2312" w:hAnsi="仿宋"/>
          <w:b/>
          <w:szCs w:val="32"/>
        </w:rPr>
        <w:t>（二）一般公共预算财政拨款支出决算结构情况。</w:t>
      </w:r>
    </w:p>
    <w:p>
      <w:pPr>
        <w:ind w:firstLine="640" w:firstLineChars="200"/>
        <w:rPr>
          <w:rFonts w:hint="eastAsia" w:ascii="楷体_GB2312" w:hAnsi="仿宋" w:eastAsia="楷体_GB2312"/>
          <w:szCs w:val="32"/>
        </w:rPr>
      </w:pPr>
      <w:r>
        <w:rPr>
          <w:rFonts w:hint="eastAsia" w:ascii="仿宋_GB2312" w:hAnsi="仿宋"/>
          <w:szCs w:val="32"/>
        </w:rPr>
        <w:t>2020年度一般公共预算财政拨款支出</w:t>
      </w:r>
      <w:r>
        <w:rPr>
          <w:rFonts w:hint="eastAsia" w:ascii="仿宋_GB2312" w:hAnsi="仿宋"/>
          <w:szCs w:val="32"/>
          <w:lang w:val="en-US" w:eastAsia="zh-CN"/>
        </w:rPr>
        <w:t>474</w:t>
      </w:r>
      <w:r>
        <w:rPr>
          <w:rFonts w:hint="eastAsia" w:ascii="仿宋_GB2312" w:hAnsi="仿宋"/>
          <w:szCs w:val="32"/>
        </w:rPr>
        <w:t>万元，主要用于以下方面：</w:t>
      </w:r>
      <w:r>
        <w:rPr>
          <w:rFonts w:hint="eastAsia" w:ascii="仿宋_GB2312" w:hAnsi="仿宋"/>
          <w:b/>
          <w:szCs w:val="32"/>
        </w:rPr>
        <w:t>一般公共服务（类）</w:t>
      </w:r>
      <w:r>
        <w:rPr>
          <w:rFonts w:hint="eastAsia" w:ascii="仿宋_GB2312" w:hAnsi="仿宋"/>
          <w:szCs w:val="32"/>
        </w:rPr>
        <w:t>支出</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w:t>
      </w:r>
      <w:r>
        <w:rPr>
          <w:rFonts w:hint="eastAsia" w:ascii="仿宋_GB2312" w:hAnsi="仿宋"/>
          <w:szCs w:val="32"/>
          <w:lang w:val="en-US" w:eastAsia="zh-CN"/>
        </w:rPr>
        <w:t>；</w:t>
      </w:r>
      <w:r>
        <w:rPr>
          <w:rFonts w:hint="eastAsia" w:ascii="仿宋_GB2312" w:hAnsi="仿宋"/>
          <w:b/>
          <w:szCs w:val="32"/>
        </w:rPr>
        <w:t>教育（类）</w:t>
      </w:r>
      <w:r>
        <w:rPr>
          <w:rFonts w:hint="eastAsia" w:ascii="仿宋_GB2312" w:hAnsi="仿宋"/>
          <w:szCs w:val="32"/>
        </w:rPr>
        <w:t>支出</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w:t>
      </w:r>
      <w:r>
        <w:rPr>
          <w:rFonts w:hint="eastAsia" w:ascii="仿宋_GB2312" w:hAnsi="仿宋"/>
          <w:b/>
          <w:szCs w:val="32"/>
        </w:rPr>
        <w:t>科学技术（类）</w:t>
      </w:r>
      <w:r>
        <w:rPr>
          <w:rFonts w:hint="eastAsia" w:ascii="仿宋_GB2312" w:hAnsi="仿宋"/>
          <w:szCs w:val="32"/>
        </w:rPr>
        <w:t>支出</w:t>
      </w:r>
      <w:r>
        <w:rPr>
          <w:rFonts w:hint="eastAsia" w:ascii="仿宋_GB2312" w:hAnsi="仿宋"/>
          <w:szCs w:val="32"/>
          <w:lang w:val="en-US" w:eastAsia="zh-CN"/>
        </w:rPr>
        <w:t>346.33</w:t>
      </w:r>
      <w:r>
        <w:rPr>
          <w:rFonts w:hint="eastAsia" w:ascii="仿宋_GB2312" w:hAnsi="仿宋"/>
          <w:szCs w:val="32"/>
        </w:rPr>
        <w:t>万元，占</w:t>
      </w:r>
      <w:r>
        <w:rPr>
          <w:rFonts w:hint="eastAsia" w:ascii="仿宋_GB2312" w:hAnsi="仿宋"/>
          <w:szCs w:val="32"/>
          <w:lang w:val="en-US" w:eastAsia="zh-CN"/>
        </w:rPr>
        <w:t>73.1</w:t>
      </w:r>
      <w:r>
        <w:rPr>
          <w:rFonts w:hint="eastAsia" w:ascii="仿宋_GB2312" w:hAnsi="仿宋"/>
          <w:szCs w:val="32"/>
        </w:rPr>
        <w:t>%；</w:t>
      </w:r>
      <w:r>
        <w:rPr>
          <w:rFonts w:hint="eastAsia" w:ascii="仿宋_GB2312" w:hAnsi="仿宋"/>
          <w:b/>
          <w:szCs w:val="32"/>
        </w:rPr>
        <w:t>文化</w:t>
      </w:r>
      <w:r>
        <w:rPr>
          <w:rFonts w:hint="eastAsia" w:ascii="仿宋_GB2312" w:hAnsi="仿宋"/>
          <w:b/>
          <w:szCs w:val="32"/>
          <w:lang w:eastAsia="zh-CN"/>
        </w:rPr>
        <w:t>旅游</w:t>
      </w:r>
      <w:r>
        <w:rPr>
          <w:rFonts w:hint="eastAsia" w:ascii="仿宋_GB2312" w:hAnsi="仿宋"/>
          <w:b/>
          <w:szCs w:val="32"/>
        </w:rPr>
        <w:t>体育与传媒（类）</w:t>
      </w:r>
      <w:r>
        <w:rPr>
          <w:rFonts w:hint="eastAsia" w:ascii="仿宋_GB2312" w:hAnsi="仿宋"/>
          <w:szCs w:val="32"/>
        </w:rPr>
        <w:t>支出</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w:t>
      </w:r>
      <w:r>
        <w:rPr>
          <w:rFonts w:hint="eastAsia" w:ascii="仿宋_GB2312" w:hAnsi="仿宋"/>
          <w:b/>
          <w:szCs w:val="32"/>
        </w:rPr>
        <w:t>社会保障和就业（类）</w:t>
      </w:r>
      <w:r>
        <w:rPr>
          <w:rFonts w:hint="eastAsia" w:ascii="仿宋_GB2312" w:hAnsi="仿宋"/>
          <w:szCs w:val="32"/>
        </w:rPr>
        <w:t>支出</w:t>
      </w:r>
      <w:r>
        <w:rPr>
          <w:rFonts w:hint="eastAsia" w:ascii="仿宋_GB2312" w:hAnsi="仿宋"/>
          <w:szCs w:val="32"/>
          <w:lang w:val="en-US" w:eastAsia="zh-CN"/>
        </w:rPr>
        <w:t>66.43</w:t>
      </w:r>
      <w:r>
        <w:rPr>
          <w:rFonts w:hint="eastAsia" w:ascii="仿宋_GB2312" w:hAnsi="仿宋"/>
          <w:szCs w:val="32"/>
        </w:rPr>
        <w:t>万元，占</w:t>
      </w:r>
      <w:r>
        <w:rPr>
          <w:rFonts w:hint="eastAsia" w:ascii="仿宋_GB2312" w:hAnsi="仿宋"/>
          <w:szCs w:val="32"/>
          <w:lang w:val="en-US" w:eastAsia="zh-CN"/>
        </w:rPr>
        <w:t>14</w:t>
      </w:r>
      <w:r>
        <w:rPr>
          <w:rFonts w:hint="eastAsia" w:ascii="仿宋_GB2312" w:hAnsi="仿宋"/>
          <w:szCs w:val="32"/>
        </w:rPr>
        <w:t>%；</w:t>
      </w:r>
      <w:r>
        <w:rPr>
          <w:rFonts w:hint="eastAsia" w:ascii="仿宋_GB2312" w:hAnsi="仿宋"/>
          <w:b/>
          <w:szCs w:val="32"/>
        </w:rPr>
        <w:t>农林水（类）</w:t>
      </w:r>
      <w:r>
        <w:rPr>
          <w:rFonts w:hint="eastAsia" w:ascii="仿宋_GB2312" w:hAnsi="仿宋"/>
          <w:szCs w:val="32"/>
        </w:rPr>
        <w:t>支出</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w:t>
      </w:r>
      <w:r>
        <w:rPr>
          <w:rFonts w:hint="eastAsia" w:ascii="仿宋_GB2312" w:hAnsi="仿宋"/>
          <w:b/>
          <w:szCs w:val="32"/>
        </w:rPr>
        <w:t>住房保障（类）</w:t>
      </w:r>
      <w:r>
        <w:rPr>
          <w:rFonts w:hint="eastAsia" w:ascii="仿宋_GB2312" w:hAnsi="仿宋"/>
          <w:szCs w:val="32"/>
        </w:rPr>
        <w:t>支出</w:t>
      </w:r>
      <w:r>
        <w:rPr>
          <w:rFonts w:hint="eastAsia" w:ascii="仿宋_GB2312" w:hAnsi="仿宋"/>
          <w:szCs w:val="32"/>
          <w:lang w:val="en-US" w:eastAsia="zh-CN"/>
        </w:rPr>
        <w:t>48.29</w:t>
      </w:r>
      <w:r>
        <w:rPr>
          <w:rFonts w:hint="eastAsia" w:ascii="仿宋_GB2312" w:hAnsi="仿宋"/>
          <w:szCs w:val="32"/>
        </w:rPr>
        <w:t>万元，占</w:t>
      </w:r>
      <w:r>
        <w:rPr>
          <w:rFonts w:hint="eastAsia" w:ascii="仿宋_GB2312" w:hAnsi="仿宋"/>
          <w:szCs w:val="32"/>
          <w:lang w:val="en-US" w:eastAsia="zh-CN"/>
        </w:rPr>
        <w:t>10.2</w:t>
      </w:r>
      <w:r>
        <w:rPr>
          <w:rFonts w:hint="eastAsia" w:ascii="仿宋_GB2312" w:hAnsi="仿宋"/>
          <w:szCs w:val="32"/>
        </w:rPr>
        <w:t>%</w:t>
      </w:r>
      <w:r>
        <w:rPr>
          <w:rFonts w:hint="eastAsia" w:ascii="仿宋_GB2312" w:hAnsi="仿宋"/>
          <w:szCs w:val="32"/>
          <w:lang w:eastAsia="zh-CN"/>
        </w:rPr>
        <w:t>；</w:t>
      </w:r>
      <w:r>
        <w:rPr>
          <w:rFonts w:hint="eastAsia" w:ascii="仿宋_GB2312" w:hAnsi="仿宋"/>
          <w:b/>
          <w:szCs w:val="32"/>
          <w:lang w:eastAsia="zh-CN"/>
        </w:rPr>
        <w:t>卫生健康</w:t>
      </w:r>
      <w:r>
        <w:rPr>
          <w:rFonts w:hint="eastAsia" w:ascii="仿宋_GB2312" w:hAnsi="仿宋"/>
          <w:b/>
          <w:szCs w:val="32"/>
        </w:rPr>
        <w:t>（类）</w:t>
      </w:r>
      <w:r>
        <w:rPr>
          <w:rFonts w:hint="eastAsia" w:ascii="仿宋_GB2312" w:hAnsi="仿宋"/>
          <w:szCs w:val="32"/>
        </w:rPr>
        <w:t>支出</w:t>
      </w:r>
      <w:r>
        <w:rPr>
          <w:rFonts w:hint="eastAsia" w:ascii="仿宋_GB2312" w:hAnsi="仿宋"/>
          <w:szCs w:val="32"/>
          <w:lang w:val="en-US" w:eastAsia="zh-CN"/>
        </w:rPr>
        <w:t>12.95</w:t>
      </w:r>
      <w:r>
        <w:rPr>
          <w:rFonts w:hint="eastAsia" w:ascii="仿宋_GB2312" w:hAnsi="仿宋"/>
          <w:szCs w:val="32"/>
        </w:rPr>
        <w:t>万元，占</w:t>
      </w:r>
      <w:r>
        <w:rPr>
          <w:rFonts w:hint="eastAsia" w:ascii="仿宋_GB2312" w:hAnsi="仿宋"/>
          <w:szCs w:val="32"/>
          <w:lang w:val="en-US" w:eastAsia="zh-CN"/>
        </w:rPr>
        <w:t>2.7</w:t>
      </w:r>
      <w:r>
        <w:rPr>
          <w:rFonts w:hint="eastAsia" w:ascii="仿宋_GB2312" w:hAnsi="仿宋"/>
          <w:szCs w:val="32"/>
        </w:rPr>
        <w:t>%。</w:t>
      </w:r>
    </w:p>
    <w:p>
      <w:pPr>
        <w:ind w:firstLine="643" w:firstLineChars="200"/>
        <w:rPr>
          <w:rFonts w:hint="eastAsia" w:ascii="仿宋_GB2312" w:hAnsi="仿宋"/>
          <w:b/>
          <w:bCs/>
          <w:szCs w:val="32"/>
        </w:rPr>
      </w:pPr>
      <w:r>
        <w:rPr>
          <w:rFonts w:hint="eastAsia" w:ascii="仿宋_GB2312" w:hAnsi="仿宋"/>
          <w:b/>
          <w:bCs/>
          <w:szCs w:val="32"/>
        </w:rPr>
        <w:t>（三）一般公共预算财政拨款支出决算具体情况。</w:t>
      </w:r>
    </w:p>
    <w:p>
      <w:pPr>
        <w:ind w:firstLine="640" w:firstLineChars="200"/>
        <w:rPr>
          <w:rFonts w:hint="eastAsia" w:ascii="仿宋_GB2312" w:hAnsi="仿宋"/>
          <w:szCs w:val="32"/>
        </w:rPr>
      </w:pPr>
      <w:r>
        <w:rPr>
          <w:rFonts w:hint="eastAsia" w:ascii="仿宋_GB2312" w:hAnsi="仿宋"/>
          <w:szCs w:val="32"/>
        </w:rPr>
        <w:t>2020年度一般公共预算财政拨款支出年初预算为</w:t>
      </w:r>
      <w:r>
        <w:rPr>
          <w:rFonts w:hint="eastAsia" w:ascii="仿宋_GB2312" w:hAnsi="仿宋"/>
          <w:szCs w:val="32"/>
          <w:lang w:val="en-US" w:eastAsia="zh-CN"/>
        </w:rPr>
        <w:t>349.36</w:t>
      </w:r>
      <w:r>
        <w:rPr>
          <w:rFonts w:hint="eastAsia" w:ascii="仿宋_GB2312" w:hAnsi="仿宋"/>
          <w:szCs w:val="32"/>
        </w:rPr>
        <w:t>万元，支出决算为</w:t>
      </w:r>
      <w:r>
        <w:rPr>
          <w:rFonts w:hint="eastAsia" w:ascii="仿宋_GB2312" w:hAnsi="仿宋"/>
          <w:szCs w:val="32"/>
          <w:lang w:val="en-US" w:eastAsia="zh-CN"/>
        </w:rPr>
        <w:t>474</w:t>
      </w:r>
      <w:r>
        <w:rPr>
          <w:rFonts w:hint="eastAsia" w:ascii="仿宋_GB2312" w:hAnsi="仿宋"/>
          <w:szCs w:val="32"/>
        </w:rPr>
        <w:t>万元，完成年初预算的</w:t>
      </w:r>
      <w:r>
        <w:rPr>
          <w:rFonts w:hint="eastAsia" w:ascii="仿宋_GB2312" w:hAnsi="仿宋"/>
          <w:szCs w:val="32"/>
          <w:lang w:val="en-US" w:eastAsia="zh-CN"/>
        </w:rPr>
        <w:t>135.7</w:t>
      </w:r>
      <w:r>
        <w:rPr>
          <w:rFonts w:hint="eastAsia" w:ascii="仿宋_GB2312" w:hAnsi="仿宋"/>
          <w:szCs w:val="32"/>
        </w:rPr>
        <w:t>%</w:t>
      </w:r>
      <w:r>
        <w:rPr>
          <w:rFonts w:hint="eastAsia" w:ascii="仿宋_GB2312" w:hAnsi="仿宋"/>
          <w:szCs w:val="32"/>
          <w:lang w:eastAsia="zh-CN"/>
        </w:rPr>
        <w:t>。</w:t>
      </w:r>
      <w:r>
        <w:rPr>
          <w:rFonts w:hint="eastAsia" w:ascii="仿宋_GB2312" w:hAnsi="仿宋"/>
          <w:szCs w:val="32"/>
        </w:rPr>
        <w:t>决算数大于预算数的主要原因:一是增加了行政运行经费；二是增加了社会保障和就业支出</w:t>
      </w:r>
      <w:r>
        <w:rPr>
          <w:rFonts w:hint="eastAsia" w:ascii="仿宋_GB2312" w:hAnsi="仿宋"/>
          <w:szCs w:val="32"/>
          <w:lang w:eastAsia="zh-CN"/>
        </w:rPr>
        <w:t>抚恤金支出</w:t>
      </w:r>
      <w:r>
        <w:rPr>
          <w:rFonts w:hint="eastAsia" w:ascii="仿宋_GB2312" w:hAnsi="仿宋"/>
          <w:szCs w:val="32"/>
        </w:rPr>
        <w:t>；三是</w:t>
      </w:r>
      <w:r>
        <w:rPr>
          <w:rFonts w:hint="eastAsia" w:ascii="仿宋_GB2312" w:hAnsi="仿宋"/>
          <w:szCs w:val="32"/>
          <w:lang w:eastAsia="zh-CN"/>
        </w:rPr>
        <w:t>增加了提租补贴支出</w:t>
      </w:r>
      <w:r>
        <w:rPr>
          <w:rFonts w:hint="eastAsia" w:ascii="仿宋_GB2312" w:hAnsi="仿宋"/>
          <w:szCs w:val="32"/>
        </w:rPr>
        <w:t>。其中:基本支出</w:t>
      </w:r>
      <w:r>
        <w:rPr>
          <w:rFonts w:hint="eastAsia" w:ascii="仿宋_GB2312" w:hAnsi="仿宋"/>
          <w:szCs w:val="32"/>
          <w:lang w:val="en-US" w:eastAsia="zh-CN"/>
        </w:rPr>
        <w:t>336.2</w:t>
      </w:r>
      <w:r>
        <w:rPr>
          <w:rFonts w:hint="eastAsia" w:ascii="仿宋_GB2312" w:hAnsi="仿宋"/>
          <w:szCs w:val="32"/>
        </w:rPr>
        <w:t>万元，占</w:t>
      </w:r>
      <w:r>
        <w:rPr>
          <w:rFonts w:hint="eastAsia" w:ascii="仿宋_GB2312" w:hAnsi="仿宋"/>
          <w:szCs w:val="32"/>
          <w:lang w:val="en-US" w:eastAsia="zh-CN"/>
        </w:rPr>
        <w:t>70.9</w:t>
      </w:r>
      <w:r>
        <w:rPr>
          <w:rFonts w:hint="eastAsia" w:ascii="仿宋_GB2312" w:hAnsi="仿宋"/>
          <w:szCs w:val="32"/>
        </w:rPr>
        <w:t>%；项目支出</w:t>
      </w:r>
      <w:r>
        <w:rPr>
          <w:rFonts w:hint="eastAsia" w:ascii="仿宋_GB2312" w:hAnsi="仿宋"/>
          <w:szCs w:val="32"/>
          <w:lang w:val="en-US" w:eastAsia="zh-CN"/>
        </w:rPr>
        <w:t>137.8</w:t>
      </w:r>
      <w:r>
        <w:rPr>
          <w:rFonts w:hint="eastAsia" w:ascii="仿宋_GB2312" w:hAnsi="仿宋"/>
          <w:szCs w:val="32"/>
        </w:rPr>
        <w:t>万元，占</w:t>
      </w:r>
      <w:r>
        <w:rPr>
          <w:rFonts w:hint="eastAsia" w:ascii="仿宋_GB2312" w:hAnsi="仿宋"/>
          <w:szCs w:val="32"/>
          <w:lang w:val="en-US" w:eastAsia="zh-CN"/>
        </w:rPr>
        <w:t>29.1</w:t>
      </w:r>
      <w:r>
        <w:rPr>
          <w:rFonts w:hint="eastAsia" w:ascii="仿宋_GB2312" w:hAnsi="仿宋"/>
          <w:szCs w:val="32"/>
        </w:rPr>
        <w:t>%。具体情况如下：</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
          <w:szCs w:val="32"/>
        </w:rPr>
      </w:pPr>
      <w:r>
        <w:rPr>
          <w:rFonts w:hint="eastAsia" w:ascii="仿宋_GB2312" w:hAnsi="仿宋"/>
          <w:b/>
          <w:szCs w:val="32"/>
        </w:rPr>
        <w:t>1</w:t>
      </w:r>
      <w:r>
        <w:rPr>
          <w:rFonts w:hint="eastAsia" w:ascii="仿宋_GB2312" w:hAnsi="仿宋"/>
          <w:szCs w:val="32"/>
        </w:rPr>
        <w:t>．</w:t>
      </w:r>
      <w:r>
        <w:rPr>
          <w:rFonts w:hint="eastAsia" w:ascii="仿宋_GB2312" w:hAnsi="黑体"/>
          <w:b/>
          <w:szCs w:val="32"/>
        </w:rPr>
        <w:t>科学技术支出（类）科学技术管理事务</w:t>
      </w:r>
      <w:r>
        <w:rPr>
          <w:rFonts w:hint="eastAsia" w:ascii="仿宋_GB2312" w:hAnsi="仿宋"/>
          <w:b/>
          <w:szCs w:val="32"/>
        </w:rPr>
        <w:t>（款）行政运行（项）</w:t>
      </w:r>
      <w:r>
        <w:rPr>
          <w:rFonts w:hint="eastAsia" w:ascii="仿宋_GB2312" w:hAnsi="仿宋"/>
          <w:szCs w:val="32"/>
        </w:rPr>
        <w:t>。年初预算为</w:t>
      </w:r>
      <w:r>
        <w:rPr>
          <w:rFonts w:hint="eastAsia" w:ascii="仿宋_GB2312" w:hAnsi="仿宋"/>
          <w:szCs w:val="32"/>
          <w:lang w:val="en-US" w:eastAsia="zh-CN"/>
        </w:rPr>
        <w:t>176.59</w:t>
      </w:r>
      <w:r>
        <w:rPr>
          <w:rFonts w:hint="eastAsia" w:ascii="仿宋_GB2312" w:hAnsi="仿宋"/>
          <w:szCs w:val="32"/>
        </w:rPr>
        <w:t>万元，支出决算为</w:t>
      </w:r>
      <w:r>
        <w:rPr>
          <w:rFonts w:hint="eastAsia" w:ascii="仿宋_GB2312" w:hAnsi="仿宋"/>
          <w:szCs w:val="32"/>
          <w:lang w:val="en-US" w:eastAsia="zh-CN"/>
        </w:rPr>
        <w:t>208.53</w:t>
      </w:r>
      <w:r>
        <w:rPr>
          <w:rFonts w:hint="eastAsia" w:ascii="仿宋_GB2312" w:hAnsi="仿宋"/>
          <w:szCs w:val="32"/>
        </w:rPr>
        <w:t>万元，完成年初预算的</w:t>
      </w:r>
      <w:r>
        <w:rPr>
          <w:rFonts w:hint="eastAsia" w:ascii="仿宋_GB2312" w:hAnsi="仿宋"/>
          <w:szCs w:val="32"/>
          <w:lang w:val="en-US" w:eastAsia="zh-CN"/>
        </w:rPr>
        <w:t>118.1</w:t>
      </w:r>
      <w:r>
        <w:rPr>
          <w:rFonts w:hint="eastAsia" w:ascii="仿宋_GB2312" w:hAnsi="仿宋"/>
          <w:szCs w:val="32"/>
        </w:rPr>
        <w:t>%，决算数大于预算数的主要原因是增加了行政运行经费。</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43" w:firstLineChars="200"/>
        <w:jc w:val="both"/>
        <w:textAlignment w:val="auto"/>
        <w:rPr>
          <w:rFonts w:hint="eastAsia" w:ascii="仿宋_GB2312" w:hAnsi="黑体" w:eastAsia="仿宋_GB2312"/>
          <w:sz w:val="32"/>
          <w:szCs w:val="32"/>
        </w:rPr>
      </w:pPr>
      <w:r>
        <w:rPr>
          <w:rFonts w:hint="eastAsia" w:ascii="仿宋_GB2312" w:hAnsi="仿宋" w:eastAsia="仿宋_GB2312" w:cs="Times New Roman"/>
          <w:b/>
          <w:kern w:val="2"/>
          <w:sz w:val="32"/>
          <w:szCs w:val="32"/>
          <w:lang w:val="en-US" w:eastAsia="zh-CN" w:bidi="ar-SA"/>
        </w:rPr>
        <w:t>2．科学技术支出（类）科学技术普及（款）科普活动（项）。</w:t>
      </w:r>
      <w:r>
        <w:rPr>
          <w:rFonts w:hint="eastAsia" w:ascii="仿宋_GB2312" w:hAnsi="黑体" w:eastAsia="仿宋_GB2312"/>
          <w:sz w:val="32"/>
          <w:szCs w:val="32"/>
        </w:rPr>
        <w:t>年初预算为90万元，支出决算为</w:t>
      </w:r>
      <w:r>
        <w:rPr>
          <w:rFonts w:hint="eastAsia" w:ascii="仿宋_GB2312" w:hAnsi="黑体" w:eastAsia="仿宋_GB2312"/>
          <w:sz w:val="32"/>
          <w:szCs w:val="32"/>
          <w:lang w:val="en-US" w:eastAsia="zh-CN"/>
        </w:rPr>
        <w:t>99</w:t>
      </w:r>
      <w:r>
        <w:rPr>
          <w:rFonts w:hint="eastAsia" w:ascii="仿宋_GB2312" w:hAnsi="黑体" w:eastAsia="仿宋_GB2312"/>
          <w:sz w:val="32"/>
          <w:szCs w:val="32"/>
        </w:rPr>
        <w:t>万元，完成年初预算的1</w:t>
      </w:r>
      <w:r>
        <w:rPr>
          <w:rFonts w:hint="eastAsia" w:ascii="仿宋_GB2312" w:hAnsi="黑体" w:eastAsia="仿宋_GB2312"/>
          <w:sz w:val="32"/>
          <w:szCs w:val="32"/>
          <w:lang w:val="en-US" w:eastAsia="zh-CN"/>
        </w:rPr>
        <w:t>10</w:t>
      </w:r>
      <w:r>
        <w:rPr>
          <w:rFonts w:hint="eastAsia" w:ascii="仿宋_GB2312" w:hAnsi="黑体" w:eastAsia="仿宋_GB2312"/>
          <w:sz w:val="32"/>
          <w:szCs w:val="32"/>
        </w:rPr>
        <w:t>%，决算数大于预算数的主要原因是</w:t>
      </w:r>
      <w:r>
        <w:rPr>
          <w:rFonts w:hint="eastAsia" w:ascii="仿宋_GB2312" w:hAnsi="仿宋" w:eastAsia="仿宋_GB2312"/>
          <w:sz w:val="32"/>
          <w:szCs w:val="32"/>
        </w:rPr>
        <w:t>省科协拨入全民科学素质纲要经费。</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黑体" w:eastAsia="仿宋_GB2312"/>
          <w:sz w:val="32"/>
          <w:szCs w:val="32"/>
        </w:rPr>
      </w:pPr>
      <w:r>
        <w:rPr>
          <w:rFonts w:hint="eastAsia" w:ascii="仿宋_GB2312" w:hAnsi="仿宋" w:eastAsia="仿宋_GB2312" w:cs="Times New Roman"/>
          <w:b/>
          <w:kern w:val="2"/>
          <w:sz w:val="32"/>
          <w:szCs w:val="32"/>
          <w:lang w:val="en-US" w:eastAsia="zh-CN" w:bidi="ar-SA"/>
        </w:rPr>
        <w:t>3．科学技术支出（类）科学技术普及（款）青少年科技</w:t>
      </w:r>
      <w:r>
        <w:rPr>
          <w:rFonts w:hint="eastAsia" w:ascii="仿宋_GB2312" w:hAnsi="仿宋" w:eastAsia="仿宋_GB2312" w:cs="Times New Roman"/>
          <w:b/>
          <w:kern w:val="2"/>
          <w:sz w:val="32"/>
          <w:szCs w:val="32"/>
        </w:rPr>
        <w:t>活动（项）。</w:t>
      </w:r>
      <w:r>
        <w:rPr>
          <w:rFonts w:hint="eastAsia" w:ascii="仿宋_GB2312" w:hAnsi="黑体" w:eastAsia="仿宋_GB2312"/>
          <w:sz w:val="32"/>
          <w:szCs w:val="32"/>
        </w:rPr>
        <w:t>年初预算为10万元，支出决算为10万元，完成年初预算的100%。</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黑体" w:eastAsia="仿宋_GB2312"/>
          <w:sz w:val="32"/>
          <w:szCs w:val="32"/>
        </w:rPr>
      </w:pPr>
      <w:r>
        <w:rPr>
          <w:rFonts w:hint="eastAsia" w:ascii="仿宋_GB2312" w:hAnsi="仿宋" w:eastAsia="仿宋_GB2312" w:cs="Times New Roman"/>
          <w:b/>
          <w:kern w:val="2"/>
          <w:sz w:val="32"/>
          <w:szCs w:val="32"/>
          <w:lang w:val="en-US" w:eastAsia="zh-CN" w:bidi="ar-SA"/>
        </w:rPr>
        <w:t>4．科学技术支出（类）科学技术普及（款）学术交流活动（项）。</w:t>
      </w:r>
      <w:r>
        <w:rPr>
          <w:rFonts w:hint="eastAsia" w:ascii="仿宋_GB2312" w:hAnsi="黑体" w:eastAsia="仿宋_GB2312"/>
          <w:sz w:val="32"/>
          <w:szCs w:val="32"/>
        </w:rPr>
        <w:t>年初预算为28.8万元，支出决算为28.8万元，完成年初预算的100%。</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仿宋" w:eastAsia="仿宋_GB2312"/>
          <w:sz w:val="32"/>
          <w:szCs w:val="32"/>
        </w:rPr>
      </w:pPr>
      <w:r>
        <w:rPr>
          <w:rFonts w:hint="eastAsia" w:ascii="仿宋_GB2312" w:hAnsi="仿宋" w:eastAsia="仿宋_GB2312" w:cs="Times New Roman"/>
          <w:b/>
          <w:kern w:val="2"/>
          <w:sz w:val="32"/>
          <w:szCs w:val="32"/>
          <w:lang w:val="en-US" w:eastAsia="zh-CN"/>
        </w:rPr>
        <w:t>5</w:t>
      </w:r>
      <w:r>
        <w:rPr>
          <w:rFonts w:hint="eastAsia" w:ascii="仿宋_GB2312" w:hAnsi="仿宋" w:eastAsia="仿宋_GB2312" w:cs="Times New Roman"/>
          <w:b/>
          <w:kern w:val="2"/>
          <w:sz w:val="32"/>
          <w:szCs w:val="32"/>
        </w:rPr>
        <w:t>．社会保障和就业支出（类）行政事业单位离退休（款）归口管理的行政单位离退休（项）。</w:t>
      </w:r>
      <w:r>
        <w:rPr>
          <w:rFonts w:hint="eastAsia" w:ascii="仿宋_GB2312" w:hAnsi="黑体" w:eastAsia="仿宋_GB2312"/>
          <w:sz w:val="32"/>
          <w:szCs w:val="32"/>
        </w:rPr>
        <w:t>年初预算为1.</w:t>
      </w:r>
      <w:r>
        <w:rPr>
          <w:rFonts w:hint="eastAsia" w:ascii="仿宋_GB2312" w:hAnsi="黑体" w:eastAsia="仿宋_GB2312"/>
          <w:sz w:val="32"/>
          <w:szCs w:val="32"/>
          <w:lang w:val="en-US" w:eastAsia="zh-CN"/>
        </w:rPr>
        <w:t>5</w:t>
      </w:r>
      <w:r>
        <w:rPr>
          <w:rFonts w:hint="eastAsia" w:ascii="仿宋_GB2312" w:hAnsi="黑体" w:eastAsia="仿宋_GB2312"/>
          <w:sz w:val="32"/>
          <w:szCs w:val="32"/>
        </w:rPr>
        <w:t>万元，支出决算为2</w:t>
      </w:r>
      <w:r>
        <w:rPr>
          <w:rFonts w:hint="eastAsia" w:ascii="仿宋_GB2312" w:hAnsi="黑体" w:eastAsia="仿宋_GB2312"/>
          <w:sz w:val="32"/>
          <w:szCs w:val="32"/>
          <w:lang w:val="en-US" w:eastAsia="zh-CN"/>
        </w:rPr>
        <w:t>6.42</w:t>
      </w:r>
      <w:r>
        <w:rPr>
          <w:rFonts w:hint="eastAsia" w:ascii="仿宋_GB2312" w:hAnsi="黑体" w:eastAsia="仿宋_GB2312"/>
          <w:sz w:val="32"/>
          <w:szCs w:val="32"/>
        </w:rPr>
        <w:t>万元，完成年初预算的</w:t>
      </w:r>
      <w:r>
        <w:rPr>
          <w:rFonts w:hint="eastAsia" w:ascii="仿宋_GB2312" w:hAnsi="黑体" w:eastAsia="仿宋_GB2312"/>
          <w:sz w:val="32"/>
          <w:szCs w:val="32"/>
          <w:lang w:val="en-US" w:eastAsia="zh-CN"/>
        </w:rPr>
        <w:t>1761.3</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决算数大于预算数的主要原因</w:t>
      </w:r>
      <w:r>
        <w:rPr>
          <w:rFonts w:hint="eastAsia" w:ascii="仿宋_GB2312" w:hAnsi="仿宋" w:eastAsia="仿宋_GB2312"/>
          <w:sz w:val="32"/>
          <w:szCs w:val="32"/>
        </w:rPr>
        <w:t>是20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年发放退休人员慰问金</w:t>
      </w:r>
      <w:r>
        <w:rPr>
          <w:rFonts w:hint="eastAsia" w:ascii="仿宋_GB2312" w:hAnsi="仿宋" w:eastAsia="仿宋_GB2312"/>
          <w:sz w:val="32"/>
          <w:szCs w:val="32"/>
          <w:lang w:eastAsia="zh-CN"/>
        </w:rPr>
        <w:t>和提租补贴</w:t>
      </w:r>
      <w:r>
        <w:rPr>
          <w:rFonts w:hint="eastAsia" w:ascii="仿宋_GB2312" w:hAnsi="仿宋" w:eastAsia="仿宋_GB231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仿宋" w:eastAsia="仿宋_GB2312"/>
          <w:sz w:val="32"/>
          <w:szCs w:val="32"/>
        </w:rPr>
      </w:pPr>
      <w:r>
        <w:rPr>
          <w:rFonts w:hint="eastAsia" w:ascii="仿宋_GB2312" w:hAnsi="黑体" w:eastAsia="仿宋_GB2312"/>
          <w:b/>
          <w:sz w:val="32"/>
          <w:szCs w:val="32"/>
          <w:lang w:val="en-US" w:eastAsia="zh-CN"/>
        </w:rPr>
        <w:t>6</w:t>
      </w:r>
      <w:r>
        <w:rPr>
          <w:rFonts w:hint="eastAsia" w:ascii="仿宋_GB2312" w:hAnsi="黑体" w:eastAsia="仿宋_GB2312"/>
          <w:b/>
          <w:sz w:val="32"/>
          <w:szCs w:val="32"/>
        </w:rPr>
        <w:t>．社会保障和就业支出（类）行政事业单位离退休（款）事业单位离退休（项）</w:t>
      </w:r>
      <w:r>
        <w:rPr>
          <w:rFonts w:hint="eastAsia" w:ascii="仿宋_GB2312" w:hAnsi="黑体" w:eastAsia="仿宋_GB2312"/>
          <w:sz w:val="32"/>
          <w:szCs w:val="32"/>
        </w:rPr>
        <w:t>。年初预算为</w:t>
      </w:r>
      <w:r>
        <w:rPr>
          <w:rFonts w:hint="eastAsia" w:ascii="仿宋_GB2312" w:hAnsi="黑体" w:eastAsia="仿宋_GB2312"/>
          <w:sz w:val="32"/>
          <w:szCs w:val="32"/>
          <w:lang w:val="en-US" w:eastAsia="zh-CN"/>
        </w:rPr>
        <w:t>0.09</w:t>
      </w:r>
      <w:r>
        <w:rPr>
          <w:rFonts w:hint="eastAsia" w:ascii="仿宋_GB2312" w:hAnsi="黑体" w:eastAsia="仿宋_GB2312"/>
          <w:sz w:val="32"/>
          <w:szCs w:val="32"/>
        </w:rPr>
        <w:t>万元，支出决算为</w:t>
      </w:r>
      <w:r>
        <w:rPr>
          <w:rFonts w:hint="eastAsia" w:ascii="仿宋_GB2312" w:hAnsi="黑体" w:eastAsia="仿宋_GB2312"/>
          <w:sz w:val="32"/>
          <w:szCs w:val="32"/>
          <w:lang w:val="en-US" w:eastAsia="zh-CN"/>
        </w:rPr>
        <w:t>1.63</w:t>
      </w:r>
      <w:r>
        <w:rPr>
          <w:rFonts w:hint="eastAsia" w:ascii="仿宋_GB2312" w:hAnsi="黑体" w:eastAsia="仿宋_GB2312"/>
          <w:sz w:val="32"/>
          <w:szCs w:val="32"/>
        </w:rPr>
        <w:t>万元，完成年初预算的</w:t>
      </w:r>
      <w:r>
        <w:rPr>
          <w:rFonts w:hint="eastAsia" w:ascii="仿宋_GB2312" w:hAnsi="黑体" w:eastAsia="仿宋_GB2312"/>
          <w:sz w:val="32"/>
          <w:szCs w:val="32"/>
          <w:lang w:val="en-US" w:eastAsia="zh-CN"/>
        </w:rPr>
        <w:t>1811</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决算数大于预算数的主要原因</w:t>
      </w:r>
      <w:r>
        <w:rPr>
          <w:rFonts w:hint="eastAsia" w:ascii="仿宋_GB2312" w:hAnsi="仿宋" w:eastAsia="仿宋_GB2312"/>
          <w:sz w:val="32"/>
          <w:szCs w:val="32"/>
        </w:rPr>
        <w:t>是20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年发放退休人员慰问金</w:t>
      </w:r>
      <w:r>
        <w:rPr>
          <w:rFonts w:hint="eastAsia" w:ascii="仿宋_GB2312" w:hAnsi="仿宋" w:eastAsia="仿宋_GB2312"/>
          <w:sz w:val="32"/>
          <w:szCs w:val="32"/>
          <w:lang w:eastAsia="zh-CN"/>
        </w:rPr>
        <w:t>和提租补贴</w:t>
      </w:r>
      <w:r>
        <w:rPr>
          <w:rFonts w:hint="eastAsia" w:ascii="仿宋_GB2312" w:hAnsi="仿宋" w:eastAsia="仿宋_GB231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黑体" w:eastAsia="仿宋_GB2312"/>
          <w:sz w:val="32"/>
          <w:szCs w:val="32"/>
        </w:rPr>
      </w:pPr>
      <w:r>
        <w:rPr>
          <w:rFonts w:hint="eastAsia" w:ascii="仿宋_GB2312" w:hAnsi="黑体" w:eastAsia="仿宋_GB2312"/>
          <w:b/>
          <w:sz w:val="32"/>
          <w:szCs w:val="32"/>
          <w:lang w:val="en-US" w:eastAsia="zh-CN"/>
        </w:rPr>
        <w:t>7</w:t>
      </w:r>
      <w:r>
        <w:rPr>
          <w:rFonts w:hint="eastAsia" w:ascii="仿宋_GB2312" w:hAnsi="黑体" w:eastAsia="仿宋_GB2312"/>
          <w:b/>
          <w:sz w:val="32"/>
          <w:szCs w:val="32"/>
        </w:rPr>
        <w:t>. 社会保障和就业支出（类）行政事业单位离退休（款）机关事业单位基本养老保险缴费支出（项）</w:t>
      </w:r>
      <w:r>
        <w:rPr>
          <w:rFonts w:hint="eastAsia" w:ascii="仿宋_GB2312" w:hAnsi="黑体" w:eastAsia="仿宋_GB2312"/>
          <w:sz w:val="32"/>
          <w:szCs w:val="32"/>
        </w:rPr>
        <w:t>年初预算为</w:t>
      </w:r>
      <w:r>
        <w:rPr>
          <w:rFonts w:hint="eastAsia" w:ascii="仿宋_GB2312" w:hAnsi="黑体" w:eastAsia="仿宋_GB2312"/>
          <w:sz w:val="32"/>
          <w:szCs w:val="32"/>
          <w:lang w:val="en-US" w:eastAsia="zh-CN"/>
        </w:rPr>
        <w:t>16.92</w:t>
      </w:r>
      <w:r>
        <w:rPr>
          <w:rFonts w:hint="eastAsia" w:ascii="仿宋_GB2312" w:hAnsi="黑体" w:eastAsia="仿宋_GB2312"/>
          <w:sz w:val="32"/>
          <w:szCs w:val="32"/>
        </w:rPr>
        <w:t>万元，支出决算为</w:t>
      </w:r>
      <w:r>
        <w:rPr>
          <w:rFonts w:hint="eastAsia" w:ascii="仿宋_GB2312" w:hAnsi="黑体" w:eastAsia="仿宋_GB2312"/>
          <w:sz w:val="32"/>
          <w:szCs w:val="32"/>
          <w:lang w:val="en-US" w:eastAsia="zh-CN"/>
        </w:rPr>
        <w:t>16.92</w:t>
      </w:r>
      <w:r>
        <w:rPr>
          <w:rFonts w:hint="eastAsia" w:ascii="仿宋_GB2312" w:hAnsi="黑体" w:eastAsia="仿宋_GB2312"/>
          <w:sz w:val="32"/>
          <w:szCs w:val="32"/>
        </w:rPr>
        <w:t>万元，完成年初预算的</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黑体" w:eastAsia="仿宋_GB2312"/>
          <w:sz w:val="32"/>
          <w:szCs w:val="32"/>
        </w:rPr>
      </w:pPr>
      <w:r>
        <w:rPr>
          <w:rFonts w:hint="eastAsia" w:ascii="仿宋_GB2312" w:hAnsi="黑体" w:eastAsia="仿宋_GB2312"/>
          <w:b/>
          <w:sz w:val="32"/>
          <w:szCs w:val="32"/>
          <w:lang w:val="en-US" w:eastAsia="zh-CN"/>
        </w:rPr>
        <w:t>8</w:t>
      </w:r>
      <w:r>
        <w:rPr>
          <w:rFonts w:hint="eastAsia" w:ascii="仿宋_GB2312" w:hAnsi="黑体" w:eastAsia="仿宋_GB2312"/>
          <w:b/>
          <w:sz w:val="32"/>
          <w:szCs w:val="32"/>
        </w:rPr>
        <w:t>. 社会保障和就业支出（类）行政事业单位</w:t>
      </w:r>
      <w:r>
        <w:rPr>
          <w:rFonts w:hint="eastAsia" w:ascii="仿宋_GB2312" w:hAnsi="黑体" w:eastAsia="仿宋_GB2312"/>
          <w:b/>
          <w:sz w:val="32"/>
          <w:szCs w:val="32"/>
          <w:lang w:eastAsia="zh-CN"/>
        </w:rPr>
        <w:t>抚恤</w:t>
      </w:r>
      <w:r>
        <w:rPr>
          <w:rFonts w:hint="eastAsia" w:ascii="仿宋_GB2312" w:hAnsi="黑体" w:eastAsia="仿宋_GB2312"/>
          <w:b/>
          <w:sz w:val="32"/>
          <w:szCs w:val="32"/>
        </w:rPr>
        <w:t>（款）机关事业单位</w:t>
      </w:r>
      <w:r>
        <w:rPr>
          <w:rFonts w:hint="eastAsia" w:ascii="仿宋_GB2312" w:hAnsi="黑体" w:eastAsia="仿宋_GB2312"/>
          <w:b/>
          <w:sz w:val="32"/>
          <w:szCs w:val="32"/>
          <w:lang w:eastAsia="zh-CN"/>
        </w:rPr>
        <w:t>死亡抚恤</w:t>
      </w:r>
      <w:r>
        <w:rPr>
          <w:rFonts w:hint="eastAsia" w:ascii="仿宋_GB2312" w:hAnsi="黑体" w:eastAsia="仿宋_GB2312"/>
          <w:b/>
          <w:sz w:val="32"/>
          <w:szCs w:val="32"/>
        </w:rPr>
        <w:t>支出（项）</w:t>
      </w:r>
      <w:r>
        <w:rPr>
          <w:rFonts w:hint="eastAsia" w:ascii="仿宋_GB2312" w:hAnsi="黑体" w:eastAsia="仿宋_GB2312"/>
          <w:sz w:val="32"/>
          <w:szCs w:val="32"/>
        </w:rPr>
        <w:t>年初预算为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万元，支出决算为</w:t>
      </w:r>
      <w:r>
        <w:rPr>
          <w:rFonts w:hint="eastAsia" w:ascii="仿宋_GB2312" w:hAnsi="黑体" w:eastAsia="仿宋_GB2312"/>
          <w:sz w:val="32"/>
          <w:szCs w:val="32"/>
          <w:lang w:val="en-US" w:eastAsia="zh-CN"/>
        </w:rPr>
        <w:t>21.46</w:t>
      </w:r>
      <w:r>
        <w:rPr>
          <w:rFonts w:hint="eastAsia" w:ascii="仿宋_GB2312" w:hAnsi="黑体" w:eastAsia="仿宋_GB2312"/>
          <w:sz w:val="32"/>
          <w:szCs w:val="32"/>
        </w:rPr>
        <w:t>万元，决算数大于预算数的主要原因</w:t>
      </w:r>
      <w:r>
        <w:rPr>
          <w:rFonts w:hint="eastAsia" w:ascii="仿宋_GB2312" w:hAnsi="黑体" w:eastAsia="仿宋_GB2312"/>
          <w:sz w:val="32"/>
          <w:szCs w:val="32"/>
          <w:lang w:eastAsia="zh-CN"/>
        </w:rPr>
        <w:t>是一名</w:t>
      </w:r>
      <w:r>
        <w:rPr>
          <w:rFonts w:hint="eastAsia" w:ascii="仿宋_GB2312" w:hAnsi="黑体" w:eastAsia="仿宋_GB2312"/>
          <w:sz w:val="32"/>
          <w:szCs w:val="32"/>
        </w:rPr>
        <w:t>退休人员</w:t>
      </w:r>
      <w:r>
        <w:rPr>
          <w:rFonts w:hint="eastAsia" w:ascii="仿宋_GB2312" w:hAnsi="黑体" w:eastAsia="仿宋_GB2312"/>
          <w:sz w:val="32"/>
          <w:szCs w:val="32"/>
          <w:lang w:eastAsia="zh-CN"/>
        </w:rPr>
        <w:t>去世</w:t>
      </w:r>
      <w:r>
        <w:rPr>
          <w:rFonts w:hint="eastAsia" w:ascii="仿宋_GB2312" w:hAnsi="黑体" w:eastAsia="仿宋_GB231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黑体" w:eastAsia="仿宋_GB2312"/>
          <w:sz w:val="32"/>
          <w:szCs w:val="32"/>
        </w:rPr>
      </w:pPr>
      <w:r>
        <w:rPr>
          <w:rFonts w:hint="eastAsia" w:ascii="仿宋_GB2312" w:hAnsi="黑体" w:eastAsia="仿宋_GB2312"/>
          <w:b/>
          <w:sz w:val="32"/>
          <w:szCs w:val="32"/>
          <w:lang w:val="en-US" w:eastAsia="zh-CN"/>
        </w:rPr>
        <w:t>9</w:t>
      </w:r>
      <w:r>
        <w:rPr>
          <w:rFonts w:hint="eastAsia" w:ascii="仿宋_GB2312" w:hAnsi="黑体" w:eastAsia="仿宋_GB2312"/>
          <w:b/>
          <w:sz w:val="32"/>
          <w:szCs w:val="32"/>
        </w:rPr>
        <w:t>．卫生健康支出（类）计划生育事务（款）其他计划生育事务支出（项）</w:t>
      </w:r>
      <w:r>
        <w:rPr>
          <w:rFonts w:hint="eastAsia" w:ascii="仿宋_GB2312" w:hAnsi="黑体" w:eastAsia="仿宋_GB2312"/>
          <w:sz w:val="32"/>
          <w:szCs w:val="32"/>
        </w:rPr>
        <w:t>。年初预算为</w:t>
      </w:r>
      <w:r>
        <w:rPr>
          <w:rFonts w:hint="eastAsia" w:ascii="仿宋_GB2312" w:hAnsi="黑体" w:eastAsia="仿宋_GB2312"/>
          <w:sz w:val="32"/>
          <w:szCs w:val="32"/>
          <w:lang w:val="en-US" w:eastAsia="zh-CN"/>
        </w:rPr>
        <w:t>0.27</w:t>
      </w:r>
      <w:r>
        <w:rPr>
          <w:rFonts w:hint="eastAsia" w:ascii="仿宋_GB2312" w:hAnsi="黑体" w:eastAsia="仿宋_GB2312"/>
          <w:sz w:val="32"/>
          <w:szCs w:val="32"/>
        </w:rPr>
        <w:t>万元，支出决算为</w:t>
      </w:r>
      <w:r>
        <w:rPr>
          <w:rFonts w:hint="eastAsia" w:ascii="仿宋_GB2312" w:hAnsi="黑体" w:eastAsia="仿宋_GB2312"/>
          <w:sz w:val="32"/>
          <w:szCs w:val="32"/>
          <w:lang w:val="en-US" w:eastAsia="zh-CN"/>
        </w:rPr>
        <w:t>0.27</w:t>
      </w:r>
      <w:r>
        <w:rPr>
          <w:rFonts w:hint="eastAsia" w:ascii="仿宋_GB2312" w:hAnsi="黑体" w:eastAsia="仿宋_GB2312"/>
          <w:sz w:val="32"/>
          <w:szCs w:val="32"/>
        </w:rPr>
        <w:t>万元，完成年初预算的</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黑体" w:eastAsia="仿宋_GB2312"/>
          <w:sz w:val="32"/>
          <w:szCs w:val="32"/>
        </w:rPr>
      </w:pPr>
      <w:r>
        <w:rPr>
          <w:rFonts w:hint="eastAsia" w:ascii="仿宋_GB2312" w:hAnsi="黑体" w:eastAsia="仿宋_GB2312"/>
          <w:b/>
          <w:sz w:val="32"/>
          <w:szCs w:val="32"/>
        </w:rPr>
        <w:t>1</w:t>
      </w:r>
      <w:r>
        <w:rPr>
          <w:rFonts w:hint="eastAsia" w:ascii="仿宋_GB2312" w:hAnsi="黑体" w:eastAsia="仿宋_GB2312"/>
          <w:b/>
          <w:sz w:val="32"/>
          <w:szCs w:val="32"/>
          <w:lang w:val="en-US" w:eastAsia="zh-CN"/>
        </w:rPr>
        <w:t>0</w:t>
      </w:r>
      <w:r>
        <w:rPr>
          <w:rFonts w:hint="eastAsia" w:ascii="仿宋_GB2312" w:hAnsi="黑体" w:eastAsia="仿宋_GB2312"/>
          <w:b/>
          <w:sz w:val="32"/>
          <w:szCs w:val="32"/>
        </w:rPr>
        <w:t>．卫生健康支出（类）行政事业单位医疗（款）行政单位医疗（项）</w:t>
      </w:r>
      <w:r>
        <w:rPr>
          <w:rFonts w:hint="eastAsia" w:ascii="仿宋_GB2312" w:hAnsi="黑体" w:eastAsia="仿宋_GB2312"/>
          <w:sz w:val="32"/>
          <w:szCs w:val="32"/>
        </w:rPr>
        <w:t>。年初预算为</w:t>
      </w:r>
      <w:r>
        <w:rPr>
          <w:rFonts w:hint="eastAsia" w:ascii="仿宋_GB2312" w:hAnsi="黑体" w:eastAsia="仿宋_GB2312"/>
          <w:sz w:val="32"/>
          <w:szCs w:val="32"/>
          <w:lang w:val="en-US" w:eastAsia="zh-CN"/>
        </w:rPr>
        <w:t>9.10</w:t>
      </w:r>
      <w:r>
        <w:rPr>
          <w:rFonts w:hint="eastAsia" w:ascii="仿宋_GB2312" w:hAnsi="黑体" w:eastAsia="仿宋_GB2312"/>
          <w:sz w:val="32"/>
          <w:szCs w:val="32"/>
        </w:rPr>
        <w:t>万元，支出决算为</w:t>
      </w:r>
      <w:r>
        <w:rPr>
          <w:rFonts w:hint="eastAsia" w:ascii="仿宋_GB2312" w:hAnsi="黑体" w:eastAsia="仿宋_GB2312"/>
          <w:sz w:val="32"/>
          <w:szCs w:val="32"/>
          <w:lang w:val="en-US" w:eastAsia="zh-CN"/>
        </w:rPr>
        <w:t>9.10</w:t>
      </w:r>
      <w:r>
        <w:rPr>
          <w:rFonts w:hint="eastAsia" w:ascii="仿宋_GB2312" w:hAnsi="黑体" w:eastAsia="仿宋_GB2312"/>
          <w:sz w:val="32"/>
          <w:szCs w:val="32"/>
        </w:rPr>
        <w:t>万元，完成年初预算的10</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黑体" w:eastAsia="仿宋_GB2312"/>
          <w:sz w:val="32"/>
          <w:szCs w:val="32"/>
        </w:rPr>
      </w:pPr>
      <w:r>
        <w:rPr>
          <w:rFonts w:hint="eastAsia" w:ascii="仿宋_GB2312" w:hAnsi="黑体" w:eastAsia="仿宋_GB2312"/>
          <w:b/>
          <w:sz w:val="32"/>
          <w:szCs w:val="32"/>
        </w:rPr>
        <w:t>1</w:t>
      </w:r>
      <w:r>
        <w:rPr>
          <w:rFonts w:hint="eastAsia" w:ascii="仿宋_GB2312" w:hAnsi="黑体" w:eastAsia="仿宋_GB2312"/>
          <w:b/>
          <w:sz w:val="32"/>
          <w:szCs w:val="32"/>
          <w:lang w:val="en-US" w:eastAsia="zh-CN"/>
        </w:rPr>
        <w:t>1</w:t>
      </w:r>
      <w:r>
        <w:rPr>
          <w:rFonts w:hint="eastAsia" w:ascii="仿宋_GB2312" w:hAnsi="黑体" w:eastAsia="仿宋_GB2312"/>
          <w:b/>
          <w:sz w:val="32"/>
          <w:szCs w:val="32"/>
        </w:rPr>
        <w:t>．卫生健康支出（类）行政事业单位医疗（款）事业单位医疗（项）</w:t>
      </w:r>
      <w:r>
        <w:rPr>
          <w:rFonts w:hint="eastAsia" w:ascii="仿宋_GB2312" w:hAnsi="黑体" w:eastAsia="仿宋_GB2312"/>
          <w:sz w:val="32"/>
          <w:szCs w:val="32"/>
        </w:rPr>
        <w:t>。年初预算为</w:t>
      </w:r>
      <w:r>
        <w:rPr>
          <w:rFonts w:hint="eastAsia" w:ascii="仿宋_GB2312" w:hAnsi="黑体" w:eastAsia="仿宋_GB2312"/>
          <w:sz w:val="32"/>
          <w:szCs w:val="32"/>
          <w:lang w:val="en-US" w:eastAsia="zh-CN"/>
        </w:rPr>
        <w:t>0.09</w:t>
      </w:r>
      <w:r>
        <w:rPr>
          <w:rFonts w:hint="eastAsia" w:ascii="仿宋_GB2312" w:hAnsi="黑体" w:eastAsia="仿宋_GB2312"/>
          <w:sz w:val="32"/>
          <w:szCs w:val="32"/>
        </w:rPr>
        <w:t>万元，支出决算为</w:t>
      </w:r>
      <w:r>
        <w:rPr>
          <w:rFonts w:hint="eastAsia" w:ascii="仿宋_GB2312" w:hAnsi="黑体" w:eastAsia="仿宋_GB2312"/>
          <w:sz w:val="32"/>
          <w:szCs w:val="32"/>
          <w:lang w:val="en-US" w:eastAsia="zh-CN"/>
        </w:rPr>
        <w:t>0.09</w:t>
      </w:r>
      <w:r>
        <w:rPr>
          <w:rFonts w:hint="eastAsia" w:ascii="仿宋_GB2312" w:hAnsi="黑体" w:eastAsia="仿宋_GB2312"/>
          <w:sz w:val="32"/>
          <w:szCs w:val="32"/>
        </w:rPr>
        <w:t>万元，完成年初预算的1</w:t>
      </w:r>
      <w:r>
        <w:rPr>
          <w:rFonts w:hint="eastAsia" w:ascii="仿宋_GB2312" w:hAnsi="黑体" w:eastAsia="仿宋_GB2312"/>
          <w:sz w:val="32"/>
          <w:szCs w:val="32"/>
          <w:lang w:val="en-US" w:eastAsia="zh-CN"/>
        </w:rPr>
        <w:t>00</w:t>
      </w:r>
      <w:r>
        <w:rPr>
          <w:rFonts w:hint="eastAsia" w:ascii="仿宋_GB2312" w:hAnsi="黑体" w:eastAsia="仿宋_GB231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黑体" w:eastAsia="仿宋_GB2312"/>
          <w:sz w:val="32"/>
          <w:szCs w:val="32"/>
        </w:rPr>
      </w:pPr>
      <w:r>
        <w:rPr>
          <w:rFonts w:hint="eastAsia" w:ascii="仿宋_GB2312" w:hAnsi="黑体" w:eastAsia="仿宋_GB2312"/>
          <w:b/>
          <w:sz w:val="32"/>
          <w:szCs w:val="32"/>
        </w:rPr>
        <w:t>1</w:t>
      </w:r>
      <w:r>
        <w:rPr>
          <w:rFonts w:hint="eastAsia" w:ascii="仿宋_GB2312" w:hAnsi="黑体" w:eastAsia="仿宋_GB2312"/>
          <w:b/>
          <w:sz w:val="32"/>
          <w:szCs w:val="32"/>
          <w:lang w:val="en-US" w:eastAsia="zh-CN"/>
        </w:rPr>
        <w:t>2</w:t>
      </w:r>
      <w:r>
        <w:rPr>
          <w:rFonts w:hint="eastAsia" w:ascii="仿宋_GB2312" w:hAnsi="黑体" w:eastAsia="仿宋_GB2312"/>
          <w:b/>
          <w:sz w:val="32"/>
          <w:szCs w:val="32"/>
        </w:rPr>
        <w:t>．卫生健康支出（类）行政事业单位医疗（款）公务员医疗补助（项）</w:t>
      </w:r>
      <w:r>
        <w:rPr>
          <w:rFonts w:hint="eastAsia" w:ascii="仿宋_GB2312" w:hAnsi="黑体" w:eastAsia="仿宋_GB2312"/>
          <w:sz w:val="32"/>
          <w:szCs w:val="32"/>
        </w:rPr>
        <w:t>。年初预算为</w:t>
      </w:r>
      <w:r>
        <w:rPr>
          <w:rFonts w:hint="eastAsia" w:ascii="仿宋_GB2312" w:hAnsi="黑体" w:eastAsia="仿宋_GB2312"/>
          <w:sz w:val="32"/>
          <w:szCs w:val="32"/>
          <w:lang w:val="en-US" w:eastAsia="zh-CN"/>
        </w:rPr>
        <w:t>3.5</w:t>
      </w:r>
      <w:r>
        <w:rPr>
          <w:rFonts w:hint="eastAsia" w:ascii="仿宋_GB2312" w:hAnsi="黑体" w:eastAsia="仿宋_GB2312"/>
          <w:sz w:val="32"/>
          <w:szCs w:val="32"/>
        </w:rPr>
        <w:t>万元，支出决算为</w:t>
      </w:r>
      <w:r>
        <w:rPr>
          <w:rFonts w:hint="eastAsia" w:ascii="仿宋_GB2312" w:hAnsi="黑体" w:eastAsia="仿宋_GB2312"/>
          <w:sz w:val="32"/>
          <w:szCs w:val="32"/>
          <w:lang w:val="en-US" w:eastAsia="zh-CN"/>
        </w:rPr>
        <w:t>3.5</w:t>
      </w:r>
      <w:r>
        <w:rPr>
          <w:rFonts w:hint="eastAsia" w:ascii="仿宋_GB2312" w:hAnsi="黑体" w:eastAsia="仿宋_GB2312"/>
          <w:sz w:val="32"/>
          <w:szCs w:val="32"/>
        </w:rPr>
        <w:t>万元，完成年初预算的</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仿宋" w:eastAsia="仿宋_GB2312"/>
          <w:sz w:val="32"/>
          <w:szCs w:val="32"/>
          <w:lang w:val="en-US" w:eastAsia="zh-CN"/>
        </w:rPr>
      </w:pPr>
      <w:r>
        <w:rPr>
          <w:rFonts w:hint="eastAsia" w:ascii="仿宋_GB2312" w:hAnsi="黑体" w:eastAsia="仿宋_GB2312"/>
          <w:b/>
          <w:sz w:val="32"/>
          <w:szCs w:val="32"/>
        </w:rPr>
        <w:t>1</w:t>
      </w:r>
      <w:r>
        <w:rPr>
          <w:rFonts w:hint="eastAsia" w:ascii="仿宋_GB2312" w:hAnsi="黑体" w:eastAsia="仿宋_GB2312"/>
          <w:b/>
          <w:sz w:val="32"/>
          <w:szCs w:val="32"/>
          <w:lang w:val="en-US" w:eastAsia="zh-CN"/>
        </w:rPr>
        <w:t>3</w:t>
      </w:r>
      <w:r>
        <w:rPr>
          <w:rFonts w:hint="eastAsia" w:ascii="仿宋_GB2312" w:hAnsi="黑体" w:eastAsia="仿宋_GB2312"/>
          <w:b/>
          <w:sz w:val="32"/>
          <w:szCs w:val="32"/>
        </w:rPr>
        <w:t>．住房保障支出（类）住房改革支出（款）住房公积金（项）</w:t>
      </w:r>
      <w:r>
        <w:rPr>
          <w:rFonts w:hint="eastAsia" w:ascii="仿宋_GB2312" w:hAnsi="黑体" w:eastAsia="仿宋_GB2312"/>
          <w:sz w:val="32"/>
          <w:szCs w:val="32"/>
        </w:rPr>
        <w:t>。年初预算为</w:t>
      </w:r>
      <w:r>
        <w:rPr>
          <w:rFonts w:hint="eastAsia" w:ascii="仿宋_GB2312" w:hAnsi="黑体" w:eastAsia="仿宋_GB2312"/>
          <w:sz w:val="32"/>
          <w:szCs w:val="32"/>
          <w:lang w:val="en-US" w:eastAsia="zh-CN"/>
        </w:rPr>
        <w:t>12.69</w:t>
      </w:r>
      <w:r>
        <w:rPr>
          <w:rFonts w:hint="eastAsia" w:ascii="仿宋_GB2312" w:hAnsi="黑体" w:eastAsia="仿宋_GB2312"/>
          <w:sz w:val="32"/>
          <w:szCs w:val="32"/>
        </w:rPr>
        <w:t>万元，支出决算为</w:t>
      </w:r>
      <w:r>
        <w:rPr>
          <w:rFonts w:hint="eastAsia" w:ascii="仿宋_GB2312" w:hAnsi="黑体" w:eastAsia="仿宋_GB2312"/>
          <w:sz w:val="32"/>
          <w:szCs w:val="32"/>
          <w:lang w:val="en-US" w:eastAsia="zh-CN"/>
        </w:rPr>
        <w:t>27.95</w:t>
      </w:r>
      <w:r>
        <w:rPr>
          <w:rFonts w:hint="eastAsia" w:ascii="仿宋_GB2312" w:hAnsi="黑体" w:eastAsia="仿宋_GB2312"/>
          <w:sz w:val="32"/>
          <w:szCs w:val="32"/>
        </w:rPr>
        <w:t>万元，完成年初预算的</w:t>
      </w:r>
      <w:r>
        <w:rPr>
          <w:rFonts w:hint="eastAsia" w:ascii="仿宋_GB2312" w:hAnsi="黑体" w:eastAsia="仿宋_GB2312"/>
          <w:sz w:val="32"/>
          <w:szCs w:val="32"/>
          <w:lang w:val="en-US" w:eastAsia="zh-CN"/>
        </w:rPr>
        <w:t>220.3</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决算数大于预算数的主要原因</w:t>
      </w:r>
      <w:r>
        <w:rPr>
          <w:rFonts w:hint="eastAsia" w:ascii="仿宋_GB2312" w:hAnsi="仿宋" w:eastAsia="仿宋_GB2312"/>
          <w:sz w:val="32"/>
          <w:szCs w:val="32"/>
        </w:rPr>
        <w:t>是增加了住房公积金支出</w:t>
      </w:r>
      <w:r>
        <w:rPr>
          <w:rFonts w:hint="eastAsia" w:ascii="仿宋_GB2312" w:hAnsi="仿宋"/>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仿宋" w:eastAsia="仿宋_GB2312"/>
          <w:szCs w:val="32"/>
          <w:lang w:val="en-US" w:eastAsia="zh-CN"/>
        </w:rPr>
      </w:pPr>
      <w:r>
        <w:rPr>
          <w:rFonts w:hint="eastAsia" w:ascii="仿宋_GB2312" w:hAnsi="黑体" w:eastAsia="仿宋_GB2312"/>
          <w:b/>
          <w:sz w:val="32"/>
          <w:szCs w:val="32"/>
        </w:rPr>
        <w:t>1</w:t>
      </w:r>
      <w:r>
        <w:rPr>
          <w:rFonts w:hint="eastAsia" w:ascii="仿宋_GB2312" w:hAnsi="黑体" w:eastAsia="仿宋_GB2312"/>
          <w:b/>
          <w:sz w:val="32"/>
          <w:szCs w:val="32"/>
          <w:lang w:val="en-US" w:eastAsia="zh-CN"/>
        </w:rPr>
        <w:t>4</w:t>
      </w:r>
      <w:r>
        <w:rPr>
          <w:rFonts w:hint="eastAsia" w:ascii="仿宋_GB2312" w:hAnsi="黑体" w:eastAsia="仿宋_GB2312"/>
          <w:b/>
          <w:sz w:val="32"/>
          <w:szCs w:val="32"/>
        </w:rPr>
        <w:t>．住房保障支出（类）住房改革支出（款）</w:t>
      </w:r>
      <w:r>
        <w:rPr>
          <w:rFonts w:hint="eastAsia" w:ascii="仿宋_GB2312" w:hAnsi="黑体" w:eastAsia="仿宋_GB2312"/>
          <w:b/>
          <w:sz w:val="32"/>
          <w:szCs w:val="32"/>
          <w:lang w:eastAsia="zh-CN"/>
        </w:rPr>
        <w:t>提租补贴</w:t>
      </w:r>
      <w:r>
        <w:rPr>
          <w:rFonts w:hint="eastAsia" w:ascii="仿宋_GB2312" w:hAnsi="黑体" w:eastAsia="仿宋_GB2312"/>
          <w:b/>
          <w:sz w:val="32"/>
          <w:szCs w:val="32"/>
        </w:rPr>
        <w:t>（项）</w:t>
      </w:r>
      <w:r>
        <w:rPr>
          <w:rFonts w:hint="eastAsia" w:ascii="仿宋_GB2312" w:hAnsi="黑体" w:eastAsia="仿宋_GB2312"/>
          <w:sz w:val="32"/>
          <w:szCs w:val="32"/>
        </w:rPr>
        <w:t>。年初预算为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万元，支出决算为</w:t>
      </w:r>
      <w:r>
        <w:rPr>
          <w:rFonts w:hint="eastAsia" w:ascii="仿宋_GB2312" w:hAnsi="黑体" w:eastAsia="仿宋_GB2312"/>
          <w:sz w:val="32"/>
          <w:szCs w:val="32"/>
          <w:lang w:val="en-US" w:eastAsia="zh-CN"/>
        </w:rPr>
        <w:t>20.34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决算数大于预算数的主要原因</w:t>
      </w:r>
      <w:r>
        <w:rPr>
          <w:rFonts w:hint="eastAsia" w:ascii="仿宋_GB2312" w:hAnsi="仿宋" w:eastAsia="仿宋_GB2312"/>
          <w:sz w:val="32"/>
          <w:szCs w:val="32"/>
        </w:rPr>
        <w:t>是</w:t>
      </w:r>
      <w:r>
        <w:rPr>
          <w:rFonts w:hint="eastAsia" w:ascii="仿宋_GB2312" w:hAnsi="仿宋" w:eastAsia="仿宋_GB2312"/>
          <w:sz w:val="32"/>
          <w:szCs w:val="32"/>
          <w:lang w:eastAsia="zh-CN"/>
        </w:rPr>
        <w:t>提租补贴是新增项目</w:t>
      </w:r>
      <w:r>
        <w:rPr>
          <w:rFonts w:hint="eastAsia" w:ascii="仿宋_GB2312" w:hAnsi="仿宋"/>
          <w:szCs w:val="32"/>
        </w:rPr>
        <w:t>。</w:t>
      </w:r>
    </w:p>
    <w:p>
      <w:pPr>
        <w:ind w:firstLine="640" w:firstLineChars="200"/>
        <w:rPr>
          <w:rFonts w:hint="eastAsia" w:ascii="黑体" w:hAnsi="仿宋" w:eastAsia="黑体"/>
          <w:szCs w:val="32"/>
        </w:rPr>
      </w:pPr>
      <w:r>
        <w:rPr>
          <w:rFonts w:hint="eastAsia" w:ascii="黑体" w:hAnsi="仿宋" w:eastAsia="黑体"/>
          <w:szCs w:val="32"/>
        </w:rPr>
        <w:t>六、一般公共预算财政拨款基本支出决算情况说明</w:t>
      </w:r>
    </w:p>
    <w:p>
      <w:pPr>
        <w:ind w:firstLine="640" w:firstLineChars="200"/>
        <w:rPr>
          <w:rFonts w:hint="eastAsia" w:ascii="仿宋_GB2312" w:hAnsi="仿宋" w:cs="Times New Roman"/>
          <w:szCs w:val="32"/>
        </w:rPr>
      </w:pPr>
      <w:r>
        <w:rPr>
          <w:rFonts w:hint="eastAsia" w:ascii="仿宋_GB2312" w:hAnsi="仿宋" w:cs="Times New Roman"/>
          <w:szCs w:val="32"/>
        </w:rPr>
        <w:t>2020年度</w:t>
      </w:r>
      <w:r>
        <w:rPr>
          <w:rFonts w:hint="eastAsia" w:ascii="仿宋_GB2312" w:hAnsi="仿宋" w:cs="Times New Roman"/>
          <w:szCs w:val="32"/>
          <w:lang w:eastAsia="zh-CN"/>
        </w:rPr>
        <w:t>一般公共预算</w:t>
      </w:r>
      <w:r>
        <w:rPr>
          <w:rFonts w:hint="eastAsia" w:ascii="仿宋_GB2312" w:hAnsi="仿宋" w:cs="Times New Roman"/>
          <w:szCs w:val="32"/>
        </w:rPr>
        <w:t>财政拨款基本支出</w:t>
      </w:r>
      <w:r>
        <w:rPr>
          <w:rFonts w:hint="eastAsia" w:ascii="仿宋_GB2312" w:hAnsi="仿宋" w:cs="Times New Roman"/>
          <w:szCs w:val="32"/>
          <w:lang w:val="en-US" w:eastAsia="zh-CN"/>
        </w:rPr>
        <w:t>336.20</w:t>
      </w:r>
      <w:r>
        <w:rPr>
          <w:rFonts w:hint="eastAsia" w:ascii="仿宋_GB2312" w:hAnsi="仿宋" w:cs="Times New Roman"/>
          <w:szCs w:val="32"/>
        </w:rPr>
        <w:t>万元，其中：人员经费</w:t>
      </w:r>
      <w:r>
        <w:rPr>
          <w:rFonts w:hint="eastAsia" w:ascii="仿宋_GB2312" w:hAnsi="仿宋" w:cs="Times New Roman"/>
          <w:szCs w:val="32"/>
          <w:lang w:val="en-US" w:eastAsia="zh-CN"/>
        </w:rPr>
        <w:t>322.86</w:t>
      </w:r>
      <w:r>
        <w:rPr>
          <w:rFonts w:hint="eastAsia" w:ascii="仿宋_GB2312" w:hAnsi="仿宋" w:cs="Times New Roman"/>
          <w:szCs w:val="32"/>
        </w:rPr>
        <w:t>万元，主要包括:基本工资</w:t>
      </w:r>
      <w:r>
        <w:rPr>
          <w:rFonts w:hint="eastAsia" w:ascii="仿宋_GB2312" w:hAnsi="仿宋" w:cs="Times New Roman"/>
          <w:szCs w:val="32"/>
          <w:lang w:val="en-US" w:eastAsia="zh-CN"/>
        </w:rPr>
        <w:t>25.79 万元</w:t>
      </w:r>
      <w:r>
        <w:rPr>
          <w:rFonts w:hint="eastAsia" w:ascii="仿宋_GB2312" w:hAnsi="仿宋" w:cs="Times New Roman"/>
          <w:szCs w:val="32"/>
        </w:rPr>
        <w:t>、津贴补贴</w:t>
      </w:r>
      <w:r>
        <w:rPr>
          <w:rFonts w:hint="eastAsia" w:ascii="仿宋_GB2312" w:hAnsi="仿宋" w:cs="Times New Roman"/>
          <w:szCs w:val="32"/>
          <w:lang w:val="en-US" w:eastAsia="zh-CN"/>
        </w:rPr>
        <w:t>37.93万元</w:t>
      </w:r>
      <w:r>
        <w:rPr>
          <w:rFonts w:hint="eastAsia" w:ascii="仿宋_GB2312" w:hAnsi="仿宋" w:cs="Times New Roman"/>
          <w:szCs w:val="32"/>
        </w:rPr>
        <w:t>、奖金</w:t>
      </w:r>
      <w:r>
        <w:rPr>
          <w:rFonts w:hint="eastAsia" w:ascii="仿宋_GB2312" w:hAnsi="仿宋" w:cs="Times New Roman"/>
          <w:szCs w:val="32"/>
          <w:lang w:val="en-US" w:eastAsia="zh-CN"/>
        </w:rPr>
        <w:t>75.37万元</w:t>
      </w:r>
      <w:r>
        <w:rPr>
          <w:rFonts w:hint="eastAsia" w:ascii="仿宋_GB2312" w:hAnsi="仿宋" w:cs="Times New Roman"/>
          <w:szCs w:val="32"/>
        </w:rPr>
        <w:t>、机关事业单位基本养老保险</w:t>
      </w:r>
      <w:r>
        <w:rPr>
          <w:rFonts w:hint="eastAsia" w:ascii="仿宋_GB2312" w:hAnsi="仿宋" w:cs="Times New Roman"/>
          <w:szCs w:val="32"/>
          <w:lang w:eastAsia="zh-CN"/>
        </w:rPr>
        <w:t>缴</w:t>
      </w:r>
      <w:r>
        <w:rPr>
          <w:rFonts w:hint="eastAsia" w:ascii="仿宋_GB2312" w:hAnsi="仿宋" w:cs="Times New Roman"/>
          <w:szCs w:val="32"/>
        </w:rPr>
        <w:t>费</w:t>
      </w:r>
      <w:r>
        <w:rPr>
          <w:rFonts w:hint="eastAsia" w:ascii="仿宋_GB2312" w:hAnsi="仿宋" w:cs="Times New Roman"/>
          <w:szCs w:val="32"/>
          <w:lang w:val="en-US" w:eastAsia="zh-CN"/>
        </w:rPr>
        <w:t>16.92万元</w:t>
      </w:r>
      <w:r>
        <w:rPr>
          <w:rFonts w:hint="eastAsia" w:ascii="仿宋_GB2312" w:hAnsi="仿宋" w:cs="Times New Roman"/>
          <w:szCs w:val="32"/>
        </w:rPr>
        <w:t>、职工基本医疗保险缴费</w:t>
      </w:r>
      <w:r>
        <w:rPr>
          <w:rFonts w:hint="eastAsia" w:ascii="仿宋_GB2312" w:hAnsi="仿宋" w:cs="Times New Roman"/>
          <w:szCs w:val="32"/>
          <w:lang w:val="en-US" w:eastAsia="zh-CN"/>
        </w:rPr>
        <w:t>9.18万元</w:t>
      </w:r>
      <w:r>
        <w:rPr>
          <w:rFonts w:hint="eastAsia" w:ascii="仿宋_GB2312" w:hAnsi="仿宋" w:cs="Times New Roman"/>
          <w:szCs w:val="32"/>
        </w:rPr>
        <w:t>、公务员医疗补助缴费</w:t>
      </w:r>
      <w:r>
        <w:rPr>
          <w:rFonts w:hint="eastAsia" w:ascii="仿宋_GB2312" w:hAnsi="仿宋" w:cs="Times New Roman"/>
          <w:szCs w:val="32"/>
          <w:lang w:val="en-US" w:eastAsia="zh-CN"/>
        </w:rPr>
        <w:t>3.5万元</w:t>
      </w:r>
      <w:r>
        <w:rPr>
          <w:rFonts w:hint="eastAsia" w:ascii="仿宋_GB2312" w:hAnsi="仿宋" w:cs="Times New Roman"/>
          <w:szCs w:val="32"/>
        </w:rPr>
        <w:t>、住房公积金</w:t>
      </w:r>
      <w:r>
        <w:rPr>
          <w:rFonts w:hint="eastAsia" w:ascii="仿宋_GB2312" w:hAnsi="仿宋" w:cs="Times New Roman"/>
          <w:szCs w:val="32"/>
          <w:lang w:val="en-US" w:eastAsia="zh-CN"/>
        </w:rPr>
        <w:t>50.81万元</w:t>
      </w:r>
      <w:r>
        <w:rPr>
          <w:rFonts w:hint="eastAsia" w:ascii="仿宋_GB2312" w:hAnsi="仿宋" w:cs="Times New Roman"/>
          <w:szCs w:val="32"/>
        </w:rPr>
        <w:t>、其他工资福利支出</w:t>
      </w:r>
      <w:r>
        <w:rPr>
          <w:rFonts w:hint="eastAsia" w:ascii="仿宋_GB2312" w:hAnsi="仿宋" w:cs="Times New Roman"/>
          <w:szCs w:val="32"/>
          <w:lang w:val="en-US" w:eastAsia="zh-CN"/>
        </w:rPr>
        <w:t>47.18万元</w:t>
      </w:r>
      <w:r>
        <w:rPr>
          <w:rFonts w:hint="eastAsia" w:ascii="仿宋_GB2312" w:hAnsi="仿宋" w:cs="Times New Roman"/>
          <w:szCs w:val="32"/>
        </w:rPr>
        <w:t>、退休费</w:t>
      </w:r>
      <w:r>
        <w:rPr>
          <w:rFonts w:hint="eastAsia" w:ascii="仿宋_GB2312" w:hAnsi="仿宋" w:cs="Times New Roman"/>
          <w:szCs w:val="32"/>
          <w:lang w:val="en-US" w:eastAsia="zh-CN"/>
        </w:rPr>
        <w:t>1.5万元</w:t>
      </w:r>
      <w:r>
        <w:rPr>
          <w:rFonts w:hint="eastAsia" w:ascii="仿宋_GB2312" w:hAnsi="仿宋" w:cs="Times New Roman"/>
          <w:szCs w:val="32"/>
        </w:rPr>
        <w:t>、抚恤金</w:t>
      </w:r>
      <w:r>
        <w:rPr>
          <w:rFonts w:hint="eastAsia" w:ascii="仿宋_GB2312" w:hAnsi="仿宋" w:cs="Times New Roman"/>
          <w:szCs w:val="32"/>
          <w:lang w:val="en-US" w:eastAsia="zh-CN"/>
        </w:rPr>
        <w:t>21.46万元</w:t>
      </w:r>
      <w:r>
        <w:rPr>
          <w:rFonts w:hint="eastAsia" w:ascii="仿宋_GB2312" w:hAnsi="仿宋" w:cs="Times New Roman"/>
          <w:szCs w:val="32"/>
        </w:rPr>
        <w:t>、生活补助</w:t>
      </w:r>
      <w:r>
        <w:rPr>
          <w:rFonts w:hint="eastAsia" w:ascii="仿宋_GB2312" w:hAnsi="仿宋" w:cs="Times New Roman"/>
          <w:szCs w:val="32"/>
          <w:lang w:val="en-US" w:eastAsia="zh-CN"/>
        </w:rPr>
        <w:t>33.19万元</w:t>
      </w:r>
      <w:r>
        <w:rPr>
          <w:rFonts w:hint="eastAsia" w:ascii="仿宋_GB2312" w:hAnsi="仿宋" w:cs="Times New Roman"/>
          <w:szCs w:val="32"/>
        </w:rPr>
        <w:t>；公用经费</w:t>
      </w:r>
      <w:r>
        <w:rPr>
          <w:rFonts w:hint="eastAsia" w:ascii="仿宋_GB2312" w:hAnsi="仿宋" w:cs="Times New Roman"/>
          <w:szCs w:val="32"/>
          <w:lang w:val="en-US" w:eastAsia="zh-CN"/>
        </w:rPr>
        <w:t>13.38</w:t>
      </w:r>
      <w:r>
        <w:rPr>
          <w:rFonts w:hint="eastAsia" w:ascii="仿宋_GB2312" w:hAnsi="仿宋" w:cs="Times New Roman"/>
          <w:szCs w:val="32"/>
        </w:rPr>
        <w:t>万元，主要包括：办公费</w:t>
      </w:r>
      <w:r>
        <w:rPr>
          <w:rFonts w:hint="eastAsia" w:ascii="仿宋_GB2312" w:hAnsi="仿宋" w:cs="Times New Roman"/>
          <w:szCs w:val="32"/>
          <w:lang w:val="en-US" w:eastAsia="zh-CN"/>
        </w:rPr>
        <w:t>1.28万元</w:t>
      </w:r>
      <w:r>
        <w:rPr>
          <w:rFonts w:hint="eastAsia" w:ascii="仿宋_GB2312" w:hAnsi="仿宋" w:cs="Times New Roman"/>
          <w:szCs w:val="32"/>
        </w:rPr>
        <w:t>、印刷费</w:t>
      </w:r>
      <w:r>
        <w:rPr>
          <w:rFonts w:hint="eastAsia" w:ascii="仿宋_GB2312" w:hAnsi="仿宋" w:cs="Times New Roman"/>
          <w:szCs w:val="32"/>
          <w:lang w:val="en-US" w:eastAsia="zh-CN"/>
        </w:rPr>
        <w:t>1.17万元</w:t>
      </w:r>
      <w:r>
        <w:rPr>
          <w:rFonts w:hint="eastAsia" w:ascii="仿宋_GB2312" w:hAnsi="仿宋" w:cs="Times New Roman"/>
          <w:szCs w:val="32"/>
        </w:rPr>
        <w:t>、电费</w:t>
      </w:r>
      <w:r>
        <w:rPr>
          <w:rFonts w:hint="eastAsia" w:ascii="仿宋_GB2312" w:hAnsi="仿宋" w:cs="Times New Roman"/>
          <w:szCs w:val="32"/>
          <w:lang w:val="en-US" w:eastAsia="zh-CN"/>
        </w:rPr>
        <w:t>1.24万元</w:t>
      </w:r>
      <w:r>
        <w:rPr>
          <w:rFonts w:hint="eastAsia" w:ascii="仿宋_GB2312" w:hAnsi="仿宋" w:cs="Times New Roman"/>
          <w:szCs w:val="32"/>
        </w:rPr>
        <w:t>、邮电费</w:t>
      </w:r>
      <w:r>
        <w:rPr>
          <w:rFonts w:hint="eastAsia" w:ascii="仿宋_GB2312" w:hAnsi="仿宋" w:cs="Times New Roman"/>
          <w:szCs w:val="32"/>
          <w:lang w:val="en-US" w:eastAsia="zh-CN"/>
        </w:rPr>
        <w:t>3.82万元</w:t>
      </w:r>
      <w:r>
        <w:rPr>
          <w:rFonts w:hint="eastAsia" w:ascii="仿宋_GB2312" w:hAnsi="仿宋" w:cs="Times New Roman"/>
          <w:szCs w:val="32"/>
        </w:rPr>
        <w:t>、差旅费</w:t>
      </w:r>
      <w:r>
        <w:rPr>
          <w:rFonts w:hint="eastAsia" w:ascii="仿宋_GB2312" w:hAnsi="仿宋" w:cs="Times New Roman"/>
          <w:szCs w:val="32"/>
          <w:lang w:val="en-US" w:eastAsia="zh-CN"/>
        </w:rPr>
        <w:t>1.93万元</w:t>
      </w:r>
      <w:r>
        <w:rPr>
          <w:rFonts w:hint="eastAsia" w:ascii="仿宋_GB2312" w:hAnsi="仿宋" w:cs="Times New Roman"/>
          <w:szCs w:val="32"/>
        </w:rPr>
        <w:t>、会议费</w:t>
      </w:r>
      <w:r>
        <w:rPr>
          <w:rFonts w:hint="eastAsia" w:ascii="仿宋_GB2312" w:hAnsi="仿宋" w:cs="Times New Roman"/>
          <w:szCs w:val="32"/>
          <w:lang w:val="en-US" w:eastAsia="zh-CN"/>
        </w:rPr>
        <w:t>0.36万元</w:t>
      </w:r>
      <w:r>
        <w:rPr>
          <w:rFonts w:hint="eastAsia" w:ascii="仿宋_GB2312" w:hAnsi="仿宋" w:cs="Times New Roman"/>
          <w:szCs w:val="32"/>
        </w:rPr>
        <w:t>、工会经费</w:t>
      </w:r>
      <w:r>
        <w:rPr>
          <w:rFonts w:hint="eastAsia" w:ascii="仿宋_GB2312" w:hAnsi="仿宋" w:cs="Times New Roman"/>
          <w:szCs w:val="32"/>
          <w:lang w:val="en-US" w:eastAsia="zh-CN"/>
        </w:rPr>
        <w:t>2.74万元</w:t>
      </w:r>
      <w:r>
        <w:rPr>
          <w:rFonts w:hint="eastAsia" w:ascii="仿宋_GB2312" w:hAnsi="仿宋" w:cs="Times New Roman"/>
          <w:szCs w:val="32"/>
        </w:rPr>
        <w:t>、其他商品</w:t>
      </w:r>
      <w:r>
        <w:rPr>
          <w:rFonts w:hint="eastAsia" w:ascii="仿宋_GB2312" w:hAnsi="仿宋" w:cs="Times New Roman"/>
          <w:szCs w:val="32"/>
          <w:lang w:eastAsia="zh-CN"/>
        </w:rPr>
        <w:t>和</w:t>
      </w:r>
      <w:r>
        <w:rPr>
          <w:rFonts w:hint="eastAsia" w:ascii="仿宋_GB2312" w:hAnsi="仿宋" w:cs="Times New Roman"/>
          <w:szCs w:val="32"/>
        </w:rPr>
        <w:t>服务支出</w:t>
      </w:r>
      <w:r>
        <w:rPr>
          <w:rFonts w:hint="eastAsia" w:ascii="仿宋_GB2312" w:hAnsi="仿宋" w:cs="Times New Roman"/>
          <w:szCs w:val="32"/>
          <w:lang w:val="en-US" w:eastAsia="zh-CN"/>
        </w:rPr>
        <w:t>0.84万元</w:t>
      </w:r>
      <w:r>
        <w:rPr>
          <w:rFonts w:hint="eastAsia" w:ascii="仿宋_GB2312" w:hAnsi="仿宋" w:cs="Times New Roman"/>
          <w:szCs w:val="32"/>
        </w:rPr>
        <w:t>。</w:t>
      </w:r>
    </w:p>
    <w:p>
      <w:pPr>
        <w:ind w:firstLine="640" w:firstLineChars="200"/>
        <w:rPr>
          <w:rFonts w:hint="eastAsia" w:ascii="黑体" w:hAnsi="黑体" w:eastAsia="黑体"/>
          <w:szCs w:val="32"/>
          <w:highlight w:val="none"/>
        </w:rPr>
      </w:pPr>
      <w:r>
        <w:rPr>
          <w:rFonts w:hint="eastAsia" w:ascii="黑体" w:hAnsi="仿宋" w:eastAsia="黑体"/>
          <w:szCs w:val="32"/>
          <w:highlight w:val="none"/>
        </w:rPr>
        <w:t>七、</w:t>
      </w:r>
      <w:r>
        <w:rPr>
          <w:rFonts w:hint="eastAsia" w:ascii="黑体" w:hAnsi="黑体" w:eastAsia="黑体"/>
          <w:szCs w:val="32"/>
          <w:highlight w:val="none"/>
        </w:rPr>
        <w:t>政府性基金财政拨款收入支出决算情况说明</w:t>
      </w:r>
    </w:p>
    <w:p>
      <w:pPr>
        <w:ind w:firstLine="640" w:firstLineChars="200"/>
        <w:rPr>
          <w:rFonts w:hint="eastAsia" w:ascii="仿宋_GB2312" w:hAnsi="仿宋" w:eastAsia="仿宋_GB2312"/>
          <w:szCs w:val="32"/>
          <w:lang w:eastAsia="zh-CN"/>
        </w:rPr>
      </w:pPr>
      <w:r>
        <w:rPr>
          <w:rFonts w:hint="eastAsia" w:ascii="仿宋_GB2312" w:hAnsi="仿宋"/>
          <w:szCs w:val="32"/>
          <w:lang w:eastAsia="zh-CN"/>
        </w:rPr>
        <w:t>蚌埠市科协本级</w:t>
      </w:r>
      <w:r>
        <w:rPr>
          <w:rFonts w:hint="eastAsia" w:ascii="仿宋_GB2312" w:hAnsi="仿宋"/>
          <w:szCs w:val="32"/>
          <w:lang w:val="en-US" w:eastAsia="zh-CN"/>
        </w:rPr>
        <w:t>2020年度</w:t>
      </w:r>
      <w:r>
        <w:rPr>
          <w:rFonts w:hint="eastAsia" w:ascii="仿宋_GB2312" w:hAnsi="仿宋"/>
          <w:szCs w:val="32"/>
        </w:rPr>
        <w:t>没有政府性基金收入，也没有使用政府性基金安排的支出</w:t>
      </w:r>
      <w:r>
        <w:rPr>
          <w:rFonts w:hint="eastAsia" w:ascii="仿宋_GB2312" w:hAnsi="仿宋"/>
          <w:szCs w:val="32"/>
          <w:lang w:eastAsia="zh-CN"/>
        </w:rPr>
        <w:t>。</w:t>
      </w:r>
    </w:p>
    <w:p>
      <w:pPr>
        <w:ind w:firstLine="640" w:firstLineChars="200"/>
        <w:rPr>
          <w:rFonts w:hint="eastAsia" w:ascii="黑体" w:hAnsi="黑体" w:eastAsia="黑体"/>
          <w:szCs w:val="32"/>
        </w:rPr>
      </w:pPr>
      <w:r>
        <w:rPr>
          <w:rFonts w:hint="eastAsia" w:ascii="黑体" w:hAnsi="黑体" w:eastAsia="黑体"/>
          <w:szCs w:val="32"/>
        </w:rPr>
        <w:t>八、国有资本经营预算财政拨款支出情况说明</w:t>
      </w:r>
    </w:p>
    <w:p>
      <w:pPr>
        <w:ind w:firstLine="640" w:firstLineChars="200"/>
        <w:rPr>
          <w:rFonts w:hint="eastAsia" w:ascii="仿宋_GB2312" w:hAnsi="仿宋"/>
          <w:szCs w:val="32"/>
          <w:lang w:val="en-US" w:eastAsia="zh-CN"/>
        </w:rPr>
      </w:pPr>
      <w:r>
        <w:rPr>
          <w:rFonts w:hint="eastAsia" w:ascii="仿宋_GB2312" w:hAnsi="仿宋"/>
          <w:szCs w:val="32"/>
          <w:lang w:val="en-US" w:eastAsia="zh-CN"/>
        </w:rPr>
        <w:t>蚌埠市科协本级2020年度没有使用国有资本经营预算财政拨款安排的支出。</w:t>
      </w:r>
    </w:p>
    <w:p>
      <w:pPr>
        <w:adjustRightInd w:val="0"/>
        <w:snapToGrid w:val="0"/>
        <w:spacing w:line="600" w:lineRule="exact"/>
        <w:ind w:firstLine="640" w:firstLineChars="200"/>
        <w:rPr>
          <w:rFonts w:hint="eastAsia" w:ascii="黑体" w:hAnsi="黑体" w:eastAsia="黑体"/>
          <w:szCs w:val="32"/>
        </w:rPr>
      </w:pPr>
      <w:r>
        <w:rPr>
          <w:rFonts w:hint="eastAsia" w:ascii="黑体" w:hAnsi="黑体" w:eastAsia="黑体"/>
          <w:szCs w:val="32"/>
        </w:rPr>
        <w:t>九、其他重要事项情况说明</w:t>
      </w:r>
    </w:p>
    <w:p>
      <w:pPr>
        <w:adjustRightInd w:val="0"/>
        <w:snapToGrid w:val="0"/>
        <w:spacing w:line="600" w:lineRule="exact"/>
        <w:ind w:firstLine="643" w:firstLineChars="200"/>
        <w:rPr>
          <w:rFonts w:hint="eastAsia" w:ascii="仿宋_GB2312" w:hAnsi="楷体"/>
          <w:b/>
          <w:szCs w:val="32"/>
        </w:rPr>
      </w:pPr>
      <w:r>
        <w:rPr>
          <w:rFonts w:hint="eastAsia" w:ascii="仿宋_GB2312" w:hAnsi="楷体"/>
          <w:b/>
          <w:szCs w:val="32"/>
        </w:rPr>
        <w:t>（一）机关运行经费支出情况。</w:t>
      </w:r>
    </w:p>
    <w:p>
      <w:pPr>
        <w:adjustRightInd w:val="0"/>
        <w:snapToGrid w:val="0"/>
        <w:spacing w:line="600" w:lineRule="exact"/>
        <w:ind w:firstLine="640" w:firstLineChars="200"/>
        <w:jc w:val="both"/>
        <w:rPr>
          <w:rFonts w:hint="eastAsia" w:ascii="仿宋_GB2312" w:hAnsi="仿宋"/>
          <w:szCs w:val="32"/>
        </w:rPr>
      </w:pPr>
      <w:r>
        <w:rPr>
          <w:rFonts w:hint="eastAsia" w:ascii="仿宋_GB2312" w:hAnsi="仿宋"/>
          <w:szCs w:val="32"/>
        </w:rPr>
        <w:t>2020年度，</w:t>
      </w:r>
      <w:r>
        <w:rPr>
          <w:rFonts w:hint="eastAsia" w:ascii="仿宋_GB2312" w:hAnsi="仿宋"/>
          <w:szCs w:val="32"/>
          <w:lang w:eastAsia="zh-CN"/>
        </w:rPr>
        <w:t>蚌埠市科协本级机关</w:t>
      </w:r>
      <w:r>
        <w:rPr>
          <w:rFonts w:hint="eastAsia" w:ascii="仿宋_GB2312" w:hAnsi="仿宋"/>
          <w:szCs w:val="32"/>
        </w:rPr>
        <w:t>运行经费支出</w:t>
      </w:r>
      <w:r>
        <w:rPr>
          <w:rFonts w:hint="eastAsia" w:ascii="仿宋_GB2312" w:hAnsi="仿宋"/>
          <w:szCs w:val="32"/>
          <w:lang w:val="en-US" w:eastAsia="zh-CN"/>
        </w:rPr>
        <w:t>10.4</w:t>
      </w:r>
      <w:r>
        <w:rPr>
          <w:rFonts w:hint="eastAsia" w:ascii="仿宋_GB2312" w:hAnsi="仿宋"/>
          <w:szCs w:val="32"/>
        </w:rPr>
        <w:t>万元，比2019年</w:t>
      </w:r>
      <w:r>
        <w:rPr>
          <w:rFonts w:hint="eastAsia" w:ascii="仿宋_GB2312" w:hAnsi="仿宋"/>
          <w:szCs w:val="32"/>
          <w:lang w:eastAsia="zh-CN"/>
        </w:rPr>
        <w:t>度持平</w:t>
      </w:r>
      <w:r>
        <w:rPr>
          <w:rFonts w:hint="eastAsia" w:ascii="仿宋_GB2312" w:hAnsi="仿宋"/>
          <w:szCs w:val="32"/>
        </w:rPr>
        <w:t>，主要原因是</w:t>
      </w:r>
      <w:r>
        <w:rPr>
          <w:rFonts w:hint="eastAsia" w:ascii="仿宋_GB2312" w:hAnsi="仿宋"/>
          <w:szCs w:val="32"/>
          <w:lang w:eastAsia="zh-CN"/>
        </w:rPr>
        <w:t>节约使用机关运行经费</w:t>
      </w:r>
      <w:r>
        <w:rPr>
          <w:rFonts w:hint="eastAsia" w:ascii="仿宋_GB2312" w:hAnsi="仿宋"/>
          <w:szCs w:val="32"/>
        </w:rPr>
        <w:t>。</w:t>
      </w:r>
    </w:p>
    <w:p>
      <w:pPr>
        <w:adjustRightInd w:val="0"/>
        <w:snapToGrid w:val="0"/>
        <w:spacing w:line="600" w:lineRule="exact"/>
        <w:ind w:firstLine="643" w:firstLineChars="200"/>
        <w:rPr>
          <w:rFonts w:hint="eastAsia" w:ascii="仿宋_GB2312" w:hAnsi="楷体"/>
          <w:b/>
          <w:szCs w:val="32"/>
        </w:rPr>
      </w:pPr>
      <w:r>
        <w:rPr>
          <w:rFonts w:hint="eastAsia" w:ascii="仿宋_GB2312" w:hAnsi="楷体"/>
          <w:b/>
          <w:szCs w:val="32"/>
        </w:rPr>
        <w:t>（二）政府采购支出情况。</w:t>
      </w:r>
    </w:p>
    <w:p>
      <w:pPr>
        <w:adjustRightInd w:val="0"/>
        <w:snapToGrid w:val="0"/>
        <w:spacing w:line="600" w:lineRule="exact"/>
        <w:ind w:firstLine="640" w:firstLineChars="200"/>
        <w:rPr>
          <w:rFonts w:hint="eastAsia" w:ascii="仿宋_GB2312" w:hAnsi="仿宋"/>
          <w:szCs w:val="32"/>
        </w:rPr>
      </w:pPr>
      <w:r>
        <w:rPr>
          <w:rFonts w:hint="eastAsia" w:ascii="仿宋_GB2312" w:hAnsi="仿宋"/>
          <w:szCs w:val="32"/>
        </w:rPr>
        <w:t>2020年度，</w:t>
      </w:r>
      <w:r>
        <w:rPr>
          <w:rFonts w:hint="eastAsia" w:ascii="仿宋_GB2312" w:hAnsi="仿宋"/>
          <w:szCs w:val="32"/>
          <w:lang w:eastAsia="zh-CN"/>
        </w:rPr>
        <w:t>蚌埠市科学技术协会单位</w:t>
      </w:r>
      <w:r>
        <w:rPr>
          <w:rFonts w:hint="eastAsia" w:ascii="仿宋_GB2312" w:hAnsi="仿宋"/>
          <w:szCs w:val="32"/>
        </w:rPr>
        <w:t>政府采购支出总额</w:t>
      </w:r>
      <w:r>
        <w:rPr>
          <w:rFonts w:hint="eastAsia" w:ascii="仿宋_GB2312" w:hAnsi="仿宋"/>
          <w:szCs w:val="32"/>
          <w:lang w:val="en-US" w:eastAsia="zh-CN"/>
        </w:rPr>
        <w:t>2.33</w:t>
      </w:r>
      <w:r>
        <w:rPr>
          <w:rFonts w:hint="eastAsia" w:ascii="仿宋_GB2312" w:hAnsi="仿宋"/>
          <w:szCs w:val="32"/>
        </w:rPr>
        <w:t>万元，其中：政府采购货物支出</w:t>
      </w:r>
      <w:r>
        <w:rPr>
          <w:rFonts w:hint="eastAsia" w:ascii="仿宋_GB2312" w:hAnsi="仿宋"/>
          <w:szCs w:val="32"/>
          <w:lang w:val="en-US" w:eastAsia="zh-CN"/>
        </w:rPr>
        <w:t>2.33</w:t>
      </w:r>
      <w:r>
        <w:rPr>
          <w:rFonts w:hint="eastAsia" w:ascii="仿宋_GB2312" w:hAnsi="仿宋"/>
          <w:szCs w:val="32"/>
        </w:rPr>
        <w:t>万元</w:t>
      </w:r>
      <w:r>
        <w:rPr>
          <w:rFonts w:hint="eastAsia" w:ascii="仿宋_GB2312" w:hAnsi="仿宋"/>
          <w:color w:val="auto"/>
          <w:szCs w:val="32"/>
        </w:rPr>
        <w:t>、</w:t>
      </w:r>
      <w:r>
        <w:rPr>
          <w:rFonts w:hint="eastAsia" w:ascii="仿宋_GB2312" w:hAnsi="仿宋"/>
          <w:szCs w:val="32"/>
        </w:rPr>
        <w:t>政府采购工程支出</w:t>
      </w:r>
      <w:r>
        <w:rPr>
          <w:rFonts w:hint="eastAsia" w:ascii="仿宋_GB2312" w:hAnsi="仿宋"/>
          <w:szCs w:val="32"/>
          <w:lang w:val="en-US" w:eastAsia="zh-CN"/>
        </w:rPr>
        <w:t>0</w:t>
      </w:r>
      <w:r>
        <w:rPr>
          <w:rFonts w:hint="eastAsia" w:ascii="仿宋_GB2312" w:hAnsi="仿宋"/>
          <w:szCs w:val="32"/>
        </w:rPr>
        <w:t>万元、政府采购服务支出</w:t>
      </w:r>
      <w:r>
        <w:rPr>
          <w:rFonts w:hint="eastAsia" w:ascii="仿宋_GB2312" w:hAnsi="仿宋"/>
          <w:szCs w:val="32"/>
          <w:lang w:val="en-US" w:eastAsia="zh-CN"/>
        </w:rPr>
        <w:t>0</w:t>
      </w:r>
      <w:r>
        <w:rPr>
          <w:rFonts w:hint="eastAsia" w:ascii="仿宋_GB2312" w:hAnsi="仿宋"/>
          <w:szCs w:val="32"/>
        </w:rPr>
        <w:t>万元。授予中小企业合同金额</w:t>
      </w:r>
      <w:r>
        <w:rPr>
          <w:rFonts w:hint="eastAsia" w:ascii="仿宋_GB2312" w:hAnsi="仿宋"/>
          <w:szCs w:val="32"/>
          <w:lang w:val="en-US" w:eastAsia="zh-CN"/>
        </w:rPr>
        <w:t>1.1</w:t>
      </w:r>
      <w:r>
        <w:rPr>
          <w:rFonts w:hint="eastAsia" w:ascii="仿宋_GB2312" w:hAnsi="仿宋"/>
          <w:szCs w:val="32"/>
        </w:rPr>
        <w:t>万元，占政府采购支出总额的</w:t>
      </w:r>
      <w:r>
        <w:rPr>
          <w:rFonts w:hint="eastAsia" w:ascii="仿宋_GB2312" w:hAnsi="仿宋"/>
          <w:szCs w:val="32"/>
          <w:lang w:val="en-US" w:eastAsia="zh-CN"/>
        </w:rPr>
        <w:t>47.2</w:t>
      </w:r>
      <w:r>
        <w:rPr>
          <w:rFonts w:hint="eastAsia" w:ascii="仿宋_GB2312" w:hAnsi="仿宋"/>
          <w:szCs w:val="32"/>
        </w:rPr>
        <w:t>%，其中：授予小微企业合同金额</w:t>
      </w:r>
      <w:r>
        <w:rPr>
          <w:rFonts w:hint="eastAsia" w:ascii="仿宋_GB2312" w:hAnsi="仿宋"/>
          <w:szCs w:val="32"/>
          <w:lang w:val="en-US" w:eastAsia="zh-CN"/>
        </w:rPr>
        <w:t>1.1</w:t>
      </w:r>
      <w:r>
        <w:rPr>
          <w:rFonts w:hint="eastAsia" w:ascii="仿宋_GB2312" w:hAnsi="仿宋"/>
          <w:szCs w:val="32"/>
        </w:rPr>
        <w:t>万元，占政府采购支出总额的</w:t>
      </w:r>
      <w:r>
        <w:rPr>
          <w:rFonts w:hint="eastAsia" w:ascii="仿宋_GB2312" w:hAnsi="仿宋"/>
          <w:szCs w:val="32"/>
          <w:lang w:val="en-US" w:eastAsia="zh-CN"/>
        </w:rPr>
        <w:t>47.2</w:t>
      </w:r>
      <w:r>
        <w:rPr>
          <w:rFonts w:hint="eastAsia" w:ascii="仿宋_GB2312" w:hAnsi="仿宋"/>
          <w:szCs w:val="32"/>
        </w:rPr>
        <w:t>%。</w:t>
      </w:r>
    </w:p>
    <w:p>
      <w:pPr>
        <w:adjustRightInd w:val="0"/>
        <w:snapToGrid w:val="0"/>
        <w:spacing w:line="600" w:lineRule="exact"/>
        <w:ind w:firstLine="643" w:firstLineChars="200"/>
        <w:rPr>
          <w:rFonts w:hint="eastAsia" w:ascii="仿宋_GB2312" w:hAnsi="楷体"/>
          <w:b/>
          <w:szCs w:val="32"/>
        </w:rPr>
      </w:pPr>
      <w:r>
        <w:rPr>
          <w:rFonts w:hint="eastAsia" w:ascii="仿宋_GB2312" w:hAnsi="楷体"/>
          <w:b/>
          <w:szCs w:val="32"/>
        </w:rPr>
        <w:t>（三）国有资产占有使用情况。</w:t>
      </w:r>
    </w:p>
    <w:p>
      <w:pPr>
        <w:adjustRightInd w:val="0"/>
        <w:snapToGrid w:val="0"/>
        <w:spacing w:line="600" w:lineRule="exact"/>
        <w:ind w:firstLine="640" w:firstLineChars="200"/>
        <w:rPr>
          <w:rFonts w:hint="eastAsia" w:ascii="仿宋_GB2312" w:hAnsi="仿宋"/>
          <w:szCs w:val="32"/>
        </w:rPr>
      </w:pPr>
      <w:r>
        <w:rPr>
          <w:rFonts w:hint="eastAsia" w:ascii="仿宋_GB2312" w:hAnsi="楷体"/>
          <w:szCs w:val="32"/>
        </w:rPr>
        <w:t>截至2020年12月31日，</w:t>
      </w:r>
      <w:r>
        <w:rPr>
          <w:rFonts w:hint="eastAsia" w:ascii="仿宋_GB2312" w:hAnsi="仿宋"/>
          <w:szCs w:val="32"/>
          <w:lang w:eastAsia="zh-CN"/>
        </w:rPr>
        <w:t>蚌埠市科学技术协会单位</w:t>
      </w:r>
      <w:r>
        <w:rPr>
          <w:rFonts w:hint="eastAsia" w:ascii="仿宋_GB2312" w:hAnsi="仿宋"/>
          <w:szCs w:val="32"/>
        </w:rPr>
        <w:t>共有车辆</w:t>
      </w:r>
      <w:r>
        <w:rPr>
          <w:rFonts w:hint="eastAsia" w:ascii="仿宋_GB2312" w:hAnsi="仿宋"/>
          <w:szCs w:val="32"/>
          <w:lang w:val="en-US" w:eastAsia="zh-CN"/>
        </w:rPr>
        <w:t>0</w:t>
      </w:r>
      <w:r>
        <w:rPr>
          <w:rFonts w:hint="eastAsia" w:ascii="仿宋_GB2312" w:hAnsi="仿宋"/>
          <w:szCs w:val="32"/>
        </w:rPr>
        <w:t>辆，其中：副部（省）级及以上领导用车</w:t>
      </w:r>
      <w:r>
        <w:rPr>
          <w:rFonts w:hint="eastAsia" w:ascii="仿宋_GB2312" w:hAnsi="仿宋"/>
          <w:szCs w:val="32"/>
          <w:lang w:val="en-US" w:eastAsia="zh-CN"/>
        </w:rPr>
        <w:t>0</w:t>
      </w:r>
      <w:r>
        <w:rPr>
          <w:rFonts w:hint="eastAsia" w:ascii="仿宋_GB2312" w:hAnsi="仿宋"/>
          <w:szCs w:val="32"/>
        </w:rPr>
        <w:t>辆、主要领导干部用车</w:t>
      </w:r>
      <w:r>
        <w:rPr>
          <w:rFonts w:hint="eastAsia" w:ascii="仿宋_GB2312" w:hAnsi="仿宋"/>
          <w:szCs w:val="32"/>
          <w:lang w:val="en-US" w:eastAsia="zh-CN"/>
        </w:rPr>
        <w:t>0</w:t>
      </w:r>
      <w:r>
        <w:rPr>
          <w:rFonts w:hint="eastAsia" w:ascii="仿宋_GB2312" w:hAnsi="仿宋"/>
          <w:szCs w:val="32"/>
        </w:rPr>
        <w:t>辆、机要通信用车</w:t>
      </w:r>
      <w:r>
        <w:rPr>
          <w:rFonts w:hint="eastAsia" w:ascii="仿宋_GB2312" w:hAnsi="仿宋"/>
          <w:szCs w:val="32"/>
          <w:lang w:val="en-US" w:eastAsia="zh-CN"/>
        </w:rPr>
        <w:t>0</w:t>
      </w:r>
      <w:r>
        <w:rPr>
          <w:rFonts w:hint="eastAsia" w:ascii="仿宋_GB2312" w:hAnsi="仿宋"/>
          <w:szCs w:val="32"/>
        </w:rPr>
        <w:t>辆、应急保障用车</w:t>
      </w:r>
      <w:r>
        <w:rPr>
          <w:rFonts w:hint="eastAsia" w:ascii="仿宋_GB2312" w:hAnsi="仿宋"/>
          <w:szCs w:val="32"/>
          <w:lang w:val="en-US" w:eastAsia="zh-CN"/>
        </w:rPr>
        <w:t>0</w:t>
      </w:r>
      <w:r>
        <w:rPr>
          <w:rFonts w:hint="eastAsia" w:ascii="仿宋_GB2312" w:hAnsi="仿宋"/>
          <w:szCs w:val="32"/>
        </w:rPr>
        <w:t>辆</w:t>
      </w:r>
      <w:r>
        <w:rPr>
          <w:rFonts w:hint="eastAsia" w:ascii="仿宋_GB2312" w:hAnsi="仿宋"/>
          <w:szCs w:val="32"/>
          <w:lang w:eastAsia="zh-CN"/>
        </w:rPr>
        <w:t>、执法执勤用车</w:t>
      </w:r>
      <w:r>
        <w:rPr>
          <w:rFonts w:hint="eastAsia" w:ascii="仿宋_GB2312" w:hAnsi="仿宋"/>
          <w:szCs w:val="32"/>
          <w:lang w:val="en-US" w:eastAsia="zh-CN"/>
        </w:rPr>
        <w:t>0辆、</w:t>
      </w:r>
      <w:r>
        <w:rPr>
          <w:rFonts w:hint="eastAsia" w:ascii="仿宋_GB2312" w:hAnsi="仿宋"/>
          <w:szCs w:val="32"/>
        </w:rPr>
        <w:t>特种专业技术用车</w:t>
      </w:r>
      <w:r>
        <w:rPr>
          <w:rFonts w:hint="eastAsia" w:ascii="仿宋_GB2312" w:hAnsi="仿宋"/>
          <w:szCs w:val="32"/>
          <w:lang w:val="en-US" w:eastAsia="zh-CN"/>
        </w:rPr>
        <w:t>0</w:t>
      </w:r>
      <w:r>
        <w:rPr>
          <w:rFonts w:hint="eastAsia" w:ascii="仿宋_GB2312" w:hAnsi="仿宋"/>
          <w:szCs w:val="32"/>
        </w:rPr>
        <w:t>辆，离退休干部用车</w:t>
      </w:r>
      <w:r>
        <w:rPr>
          <w:rFonts w:hint="eastAsia" w:ascii="仿宋_GB2312" w:hAnsi="仿宋"/>
          <w:szCs w:val="32"/>
          <w:lang w:val="en-US" w:eastAsia="zh-CN"/>
        </w:rPr>
        <w:t>0</w:t>
      </w:r>
      <w:r>
        <w:rPr>
          <w:rFonts w:hint="eastAsia" w:ascii="仿宋_GB2312" w:hAnsi="仿宋"/>
          <w:szCs w:val="32"/>
        </w:rPr>
        <w:t>辆，其他用车</w:t>
      </w:r>
      <w:r>
        <w:rPr>
          <w:rFonts w:hint="eastAsia" w:ascii="仿宋_GB2312" w:hAnsi="仿宋"/>
          <w:szCs w:val="32"/>
          <w:lang w:val="en-US" w:eastAsia="zh-CN"/>
        </w:rPr>
        <w:t>0</w:t>
      </w:r>
      <w:r>
        <w:rPr>
          <w:rFonts w:hint="eastAsia" w:ascii="仿宋_GB2312" w:hAnsi="仿宋"/>
          <w:szCs w:val="32"/>
        </w:rPr>
        <w:t>辆；单价50万元以上的通用设备</w:t>
      </w:r>
      <w:r>
        <w:rPr>
          <w:rFonts w:hint="eastAsia" w:ascii="仿宋_GB2312" w:hAnsi="仿宋"/>
          <w:szCs w:val="32"/>
          <w:lang w:val="en-US" w:eastAsia="zh-CN"/>
        </w:rPr>
        <w:t>0</w:t>
      </w:r>
      <w:r>
        <w:rPr>
          <w:rFonts w:hint="eastAsia" w:ascii="仿宋_GB2312" w:hAnsi="仿宋"/>
          <w:szCs w:val="32"/>
        </w:rPr>
        <w:t>台（套），单价100万</w:t>
      </w:r>
      <w:r>
        <w:rPr>
          <w:rFonts w:hint="eastAsia" w:ascii="仿宋_GB2312" w:hAnsi="仿宋"/>
          <w:color w:val="auto"/>
          <w:szCs w:val="32"/>
        </w:rPr>
        <w:t>元</w:t>
      </w:r>
      <w:r>
        <w:rPr>
          <w:rFonts w:hint="eastAsia" w:ascii="仿宋_GB2312" w:hAnsi="仿宋"/>
          <w:szCs w:val="32"/>
        </w:rPr>
        <w:t>以上专用设备</w:t>
      </w:r>
      <w:r>
        <w:rPr>
          <w:rFonts w:hint="eastAsia" w:ascii="仿宋_GB2312" w:hAnsi="仿宋"/>
          <w:szCs w:val="32"/>
          <w:lang w:val="en-US" w:eastAsia="zh-CN"/>
        </w:rPr>
        <w:t>0</w:t>
      </w:r>
      <w:r>
        <w:rPr>
          <w:rFonts w:hint="eastAsia" w:ascii="仿宋_GB2312" w:hAnsi="仿宋"/>
          <w:szCs w:val="32"/>
        </w:rPr>
        <w:t>台（套）。</w:t>
      </w:r>
    </w:p>
    <w:p>
      <w:pPr>
        <w:adjustRightInd w:val="0"/>
        <w:snapToGrid w:val="0"/>
        <w:spacing w:line="600" w:lineRule="exact"/>
        <w:ind w:firstLine="643" w:firstLineChars="200"/>
        <w:rPr>
          <w:rFonts w:hint="eastAsia" w:ascii="仿宋_GB2312" w:hAnsi="楷体"/>
          <w:b/>
          <w:szCs w:val="32"/>
        </w:rPr>
      </w:pPr>
      <w:r>
        <w:rPr>
          <w:rFonts w:hint="eastAsia" w:ascii="仿宋_GB2312" w:hAnsi="楷体"/>
          <w:b/>
          <w:szCs w:val="32"/>
        </w:rPr>
        <w:t>（四）关于2020年度预算绩效情况说明</w:t>
      </w:r>
    </w:p>
    <w:p>
      <w:pPr>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
          <w:b/>
          <w:szCs w:val="32"/>
        </w:rPr>
        <w:t>1</w:t>
      </w:r>
      <w:r>
        <w:rPr>
          <w:rFonts w:hint="default" w:ascii="仿宋_GB2312" w:hAnsi="仿宋"/>
          <w:b/>
          <w:szCs w:val="32"/>
          <w:lang w:val="en-US"/>
        </w:rPr>
        <w:t>.</w:t>
      </w:r>
      <w:r>
        <w:rPr>
          <w:rFonts w:hint="eastAsia" w:ascii="仿宋_GB2312" w:hAnsi="仿宋_GB2312" w:eastAsia="仿宋_GB2312" w:cs="仿宋_GB2312"/>
          <w:b/>
          <w:bCs/>
          <w:sz w:val="32"/>
          <w:szCs w:val="32"/>
        </w:rPr>
        <w:t>预算绩效管理工作开展情况。</w:t>
      </w:r>
    </w:p>
    <w:p>
      <w:pPr>
        <w:keepNext w:val="0"/>
        <w:keepLines w:val="0"/>
        <w:widowControl/>
        <w:suppressLineNumbers w:val="0"/>
        <w:spacing w:before="0" w:beforeAutospacing="0" w:after="0" w:afterAutospacing="0"/>
        <w:ind w:left="0" w:right="0" w:firstLine="640" w:firstLineChars="200"/>
        <w:jc w:val="left"/>
        <w:rPr>
          <w:rFonts w:hint="eastAsia" w:ascii="仿宋_GB2312" w:hAnsi="宋体" w:eastAsia="仿宋_GB2312" w:cs="宋体"/>
          <w:color w:val="000000"/>
          <w:kern w:val="0"/>
          <w:sz w:val="32"/>
          <w:szCs w:val="32"/>
          <w:lang w:val="en-US" w:eastAsia="zh-CN" w:bidi="ar"/>
        </w:rPr>
      </w:pPr>
      <w:r>
        <w:rPr>
          <w:rFonts w:hint="eastAsia" w:ascii="仿宋_GB2312" w:hAnsi="仿宋"/>
          <w:szCs w:val="32"/>
          <w:lang w:val="en-US" w:eastAsia="zh-CN"/>
        </w:rPr>
        <w:t>根据预算绩效管理要求，我单位对2020年度纳入单位预算的项目支出全面开展了绩效自评，共7个项目，</w:t>
      </w:r>
      <w:r>
        <w:rPr>
          <w:rFonts w:hint="eastAsia" w:ascii="仿宋_GB2312" w:hAnsi="仿宋" w:cs="Times New Roman"/>
          <w:szCs w:val="32"/>
        </w:rPr>
        <w:t>涉及资金</w:t>
      </w:r>
      <w:r>
        <w:rPr>
          <w:rFonts w:hint="eastAsia" w:ascii="仿宋_GB2312" w:hAnsi="仿宋" w:cs="Times New Roman"/>
          <w:szCs w:val="32"/>
          <w:lang w:val="en-US" w:eastAsia="zh-CN"/>
        </w:rPr>
        <w:t>170.31</w:t>
      </w:r>
      <w:r>
        <w:rPr>
          <w:rFonts w:hint="eastAsia" w:ascii="仿宋_GB2312" w:hAnsi="仿宋" w:cs="Times New Roman"/>
          <w:szCs w:val="32"/>
        </w:rPr>
        <w:t>万元，占项目预算总额的</w:t>
      </w:r>
      <w:r>
        <w:rPr>
          <w:rFonts w:hint="eastAsia" w:ascii="仿宋_GB2312" w:hAnsi="仿宋" w:cs="Times New Roman"/>
          <w:szCs w:val="32"/>
          <w:lang w:val="en-US" w:eastAsia="zh-CN"/>
        </w:rPr>
        <w:t>132.2</w:t>
      </w:r>
      <w:r>
        <w:rPr>
          <w:rFonts w:hint="eastAsia" w:ascii="仿宋_GB2312" w:hAnsi="仿宋" w:cs="Times New Roman"/>
          <w:szCs w:val="32"/>
        </w:rPr>
        <w:t>%。从评价情况看，</w:t>
      </w:r>
      <w:r>
        <w:rPr>
          <w:rFonts w:hint="eastAsia" w:ascii="仿宋_GB2312" w:hAnsi="仿宋" w:cs="Times New Roman"/>
          <w:szCs w:val="32"/>
          <w:lang w:val="en-US" w:eastAsia="zh-CN"/>
        </w:rPr>
        <w:t>7个项目绩效自评结果均在96分</w:t>
      </w:r>
      <w:r>
        <w:rPr>
          <w:rFonts w:hint="eastAsia" w:ascii="仿宋_GB2312" w:hAnsi="宋体" w:eastAsia="仿宋_GB2312" w:cs="宋体"/>
          <w:color w:val="000000"/>
          <w:kern w:val="0"/>
          <w:sz w:val="32"/>
          <w:szCs w:val="32"/>
          <w:lang w:val="en-US" w:eastAsia="zh-CN" w:bidi="ar"/>
        </w:rPr>
        <w:t>以上，各项目较好</w:t>
      </w:r>
      <w:r>
        <w:rPr>
          <w:rFonts w:hint="eastAsia" w:ascii="仿宋_GB2312" w:hAnsi="宋体" w:cs="宋体"/>
          <w:color w:val="000000"/>
          <w:kern w:val="0"/>
          <w:sz w:val="32"/>
          <w:szCs w:val="32"/>
          <w:lang w:val="en-US" w:eastAsia="zh-CN" w:bidi="ar"/>
        </w:rPr>
        <w:t>地</w:t>
      </w:r>
      <w:r>
        <w:rPr>
          <w:rFonts w:hint="eastAsia" w:ascii="仿宋_GB2312" w:hAnsi="宋体" w:eastAsia="仿宋_GB2312" w:cs="宋体"/>
          <w:color w:val="000000"/>
          <w:kern w:val="0"/>
          <w:sz w:val="32"/>
          <w:szCs w:val="32"/>
          <w:lang w:val="en-US" w:eastAsia="zh-CN" w:bidi="ar"/>
        </w:rPr>
        <w:t>完成了目标任务</w:t>
      </w:r>
      <w:r>
        <w:rPr>
          <w:rFonts w:hint="eastAsia" w:ascii="仿宋_GB2312" w:hAnsi="宋体" w:cs="宋体"/>
          <w:color w:val="000000"/>
          <w:kern w:val="0"/>
          <w:sz w:val="32"/>
          <w:szCs w:val="32"/>
          <w:lang w:val="en-US" w:eastAsia="zh-CN" w:bidi="ar"/>
        </w:rPr>
        <w:t>，</w:t>
      </w:r>
      <w:r>
        <w:rPr>
          <w:rFonts w:hint="eastAsia" w:ascii="仿宋_GB2312" w:hAnsi="宋体" w:eastAsia="仿宋_GB2312" w:cs="宋体"/>
          <w:color w:val="000000"/>
          <w:kern w:val="0"/>
          <w:sz w:val="32"/>
          <w:szCs w:val="32"/>
          <w:lang w:val="en-US" w:eastAsia="zh-CN" w:bidi="ar"/>
        </w:rPr>
        <w:t>产生了</w:t>
      </w:r>
      <w:r>
        <w:rPr>
          <w:rFonts w:hint="eastAsia" w:ascii="仿宋_GB2312" w:hAnsi="宋体" w:cs="宋体"/>
          <w:color w:val="000000"/>
          <w:kern w:val="0"/>
          <w:sz w:val="32"/>
          <w:szCs w:val="32"/>
          <w:lang w:val="en-US" w:eastAsia="zh-CN" w:bidi="ar"/>
        </w:rPr>
        <w:t>良</w:t>
      </w:r>
      <w:r>
        <w:rPr>
          <w:rFonts w:hint="eastAsia" w:ascii="仿宋_GB2312" w:hAnsi="宋体" w:eastAsia="仿宋_GB2312" w:cs="宋体"/>
          <w:color w:val="000000"/>
          <w:kern w:val="0"/>
          <w:sz w:val="32"/>
          <w:szCs w:val="32"/>
          <w:lang w:val="en-US" w:eastAsia="zh-CN" w:bidi="ar"/>
        </w:rPr>
        <w:t>好的社会效益，达到了预期的绩效目标。</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
          <w:szCs w:val="32"/>
          <w:highlight w:val="lightGray"/>
          <w:lang w:val="en-US" w:eastAsia="zh-CN"/>
        </w:rPr>
      </w:pPr>
      <w:r>
        <w:rPr>
          <w:rFonts w:hint="eastAsia" w:ascii="仿宋_GB2312" w:hAnsi="仿宋_GB2312" w:eastAsia="仿宋_GB2312" w:cs="仿宋_GB2312"/>
          <w:kern w:val="0"/>
          <w:sz w:val="32"/>
          <w:szCs w:val="32"/>
          <w:lang w:val="en-US" w:eastAsia="zh-CN" w:bidi="ar"/>
        </w:rPr>
        <w:t>组织对2020年度</w:t>
      </w:r>
      <w:r>
        <w:rPr>
          <w:rFonts w:hint="eastAsia" w:ascii="仿宋_GB2312" w:hAnsi="仿宋_GB2312" w:cs="仿宋_GB2312"/>
          <w:kern w:val="0"/>
          <w:sz w:val="32"/>
          <w:szCs w:val="32"/>
          <w:lang w:val="en-US" w:eastAsia="zh-CN" w:bidi="ar"/>
        </w:rPr>
        <w:t>单位</w:t>
      </w:r>
      <w:r>
        <w:rPr>
          <w:rFonts w:hint="eastAsia" w:ascii="仿宋_GB2312" w:hAnsi="仿宋_GB2312" w:eastAsia="仿宋_GB2312" w:cs="仿宋_GB2312"/>
          <w:kern w:val="0"/>
          <w:sz w:val="32"/>
          <w:szCs w:val="32"/>
          <w:lang w:val="en-US" w:eastAsia="zh-CN" w:bidi="ar"/>
        </w:rPr>
        <w:t>整体支出开展绩效自评。评价结果显示，本部门对预算绩效管理工作重视程度不断加强，</w:t>
      </w:r>
      <w:r>
        <w:rPr>
          <w:rFonts w:hint="eastAsia" w:ascii="仿宋_GB2312" w:hAnsi="仿宋" w:cs="Times New Roman"/>
          <w:szCs w:val="32"/>
        </w:rPr>
        <w:t>各实施项目完成情况较好，完成了全年预算任务，各项指标达到了预期效果。</w:t>
      </w:r>
      <w:r>
        <w:rPr>
          <w:rFonts w:hint="eastAsia" w:ascii="仿宋_GB2312" w:hAnsi="仿宋_GB2312" w:eastAsia="仿宋_GB2312" w:cs="仿宋_GB2312"/>
          <w:kern w:val="0"/>
          <w:sz w:val="32"/>
          <w:szCs w:val="32"/>
          <w:lang w:val="en-US" w:eastAsia="zh-CN" w:bidi="ar"/>
        </w:rPr>
        <w:t>预算资金在产出、效益和满意度等方面均取得良好的执行效果，达到了预期绩效目标，并获得了较高的社会满意度。</w:t>
      </w:r>
    </w:p>
    <w:p>
      <w:pPr>
        <w:numPr>
          <w:ilvl w:val="0"/>
          <w:numId w:val="2"/>
        </w:num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单位</w:t>
      </w:r>
      <w:r>
        <w:rPr>
          <w:rFonts w:hint="eastAsia" w:ascii="仿宋_GB2312" w:hAnsi="仿宋_GB2312" w:eastAsia="仿宋_GB2312" w:cs="仿宋_GB2312"/>
          <w:b/>
          <w:bCs/>
          <w:sz w:val="32"/>
          <w:szCs w:val="32"/>
        </w:rPr>
        <w:t>决算中项目绩效自评结果。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cs="Times New Roman"/>
          <w:szCs w:val="32"/>
        </w:rPr>
      </w:pPr>
      <w:r>
        <w:rPr>
          <w:rFonts w:hint="eastAsia" w:ascii="仿宋_GB2312" w:hAnsi="仿宋" w:cs="Times New Roman"/>
          <w:szCs w:val="32"/>
          <w:lang w:eastAsia="zh-CN"/>
        </w:rPr>
        <w:t>蚌埠市科学技术协会</w:t>
      </w:r>
      <w:r>
        <w:rPr>
          <w:rFonts w:hint="eastAsia" w:ascii="仿宋_GB2312" w:hAnsi="仿宋" w:cs="Times New Roman"/>
          <w:szCs w:val="32"/>
        </w:rPr>
        <w:t>在2020年度</w:t>
      </w:r>
      <w:r>
        <w:rPr>
          <w:rFonts w:hint="eastAsia" w:ascii="仿宋_GB2312" w:hAnsi="仿宋" w:cs="Times New Roman"/>
          <w:szCs w:val="32"/>
          <w:lang w:eastAsia="zh-CN"/>
        </w:rPr>
        <w:t>单位</w:t>
      </w:r>
      <w:r>
        <w:rPr>
          <w:rFonts w:hint="eastAsia" w:ascii="仿宋_GB2312" w:hAnsi="仿宋" w:cs="Times New Roman"/>
          <w:szCs w:val="32"/>
        </w:rPr>
        <w:t>决算中反映“全民科学素质行动计划纲要实施项目”、“学术交流项目”</w:t>
      </w:r>
      <w:r>
        <w:rPr>
          <w:rFonts w:hint="eastAsia" w:ascii="仿宋_GB2312" w:hAnsi="仿宋" w:cs="Times New Roman"/>
          <w:szCs w:val="32"/>
          <w:lang w:eastAsia="zh-CN"/>
        </w:rPr>
        <w:t>、</w:t>
      </w:r>
      <w:r>
        <w:rPr>
          <w:rFonts w:hint="eastAsia" w:ascii="仿宋_GB2312" w:hAnsi="仿宋" w:cs="Times New Roman"/>
          <w:szCs w:val="32"/>
        </w:rPr>
        <w:t>“青少年</w:t>
      </w:r>
      <w:r>
        <w:rPr>
          <w:rFonts w:hint="eastAsia" w:ascii="仿宋_GB2312" w:hAnsi="仿宋" w:cs="Times New Roman"/>
          <w:szCs w:val="32"/>
          <w:lang w:eastAsia="zh-CN"/>
        </w:rPr>
        <w:t>科技活动</w:t>
      </w:r>
      <w:r>
        <w:rPr>
          <w:rFonts w:hint="eastAsia" w:ascii="仿宋_GB2312" w:hAnsi="仿宋" w:cs="Times New Roman"/>
          <w:szCs w:val="32"/>
        </w:rPr>
        <w:t>项目”等</w:t>
      </w:r>
      <w:r>
        <w:rPr>
          <w:rFonts w:hint="eastAsia" w:ascii="仿宋_GB2312" w:hAnsi="仿宋" w:cs="Times New Roman"/>
          <w:szCs w:val="32"/>
          <w:lang w:val="en-US" w:eastAsia="zh-CN"/>
        </w:rPr>
        <w:t>7</w:t>
      </w:r>
      <w:r>
        <w:rPr>
          <w:rFonts w:hint="eastAsia" w:ascii="仿宋_GB2312" w:hAnsi="仿宋" w:cs="Times New Roman"/>
          <w:szCs w:val="32"/>
        </w:rPr>
        <w:t>个项目绩效自评结果。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cs="Times New Roman"/>
          <w:szCs w:val="32"/>
          <w:lang w:eastAsia="zh-CN"/>
        </w:rPr>
      </w:pPr>
      <w:r>
        <w:rPr>
          <w:rFonts w:hint="eastAsia" w:ascii="仿宋_GB2312" w:hAnsi="仿宋"/>
          <w:b w:val="0"/>
          <w:bCs w:val="0"/>
          <w:szCs w:val="32"/>
          <w:lang w:eastAsia="zh-CN"/>
        </w:rPr>
        <w:t>（</w:t>
      </w:r>
      <w:r>
        <w:rPr>
          <w:rFonts w:hint="eastAsia" w:ascii="仿宋_GB2312" w:hAnsi="仿宋"/>
          <w:b w:val="0"/>
          <w:bCs w:val="0"/>
          <w:szCs w:val="32"/>
          <w:lang w:val="en-US" w:eastAsia="zh-CN"/>
        </w:rPr>
        <w:t>1</w:t>
      </w:r>
      <w:r>
        <w:rPr>
          <w:rFonts w:hint="eastAsia" w:ascii="仿宋_GB2312" w:hAnsi="仿宋"/>
          <w:b w:val="0"/>
          <w:bCs w:val="0"/>
          <w:szCs w:val="32"/>
          <w:lang w:eastAsia="zh-CN"/>
        </w:rPr>
        <w:t>）</w:t>
      </w:r>
      <w:r>
        <w:rPr>
          <w:rFonts w:hint="eastAsia" w:ascii="仿宋_GB2312" w:hAnsi="仿宋"/>
          <w:b w:val="0"/>
          <w:bCs w:val="0"/>
          <w:szCs w:val="32"/>
        </w:rPr>
        <w:t>全民科学素质行动计划纲要实施项目绩效自评综述：</w:t>
      </w:r>
      <w:r>
        <w:rPr>
          <w:rFonts w:hint="eastAsia" w:ascii="仿宋_GB2312" w:hAnsi="仿宋" w:cs="Times New Roman"/>
          <w:szCs w:val="32"/>
          <w:lang w:eastAsia="zh-CN"/>
        </w:rPr>
        <w:t>根据年初设定的绩效目标，项目绩效自评得分</w:t>
      </w:r>
      <w:r>
        <w:rPr>
          <w:rFonts w:hint="eastAsia" w:ascii="仿宋_GB2312" w:hAnsi="仿宋" w:cs="Times New Roman"/>
          <w:szCs w:val="32"/>
          <w:lang w:val="en-US" w:eastAsia="zh-CN"/>
        </w:rPr>
        <w:t>99</w:t>
      </w:r>
      <w:r>
        <w:rPr>
          <w:rFonts w:hint="eastAsia" w:ascii="仿宋_GB2312" w:hAnsi="仿宋" w:cs="Times New Roman"/>
          <w:szCs w:val="32"/>
          <w:lang w:eastAsia="zh-CN"/>
        </w:rPr>
        <w:t>分，全年预算数</w:t>
      </w:r>
      <w:r>
        <w:rPr>
          <w:rFonts w:hint="eastAsia" w:ascii="仿宋_GB2312" w:hAnsi="仿宋" w:cs="Times New Roman"/>
          <w:szCs w:val="32"/>
          <w:lang w:val="en-US" w:eastAsia="zh-CN"/>
        </w:rPr>
        <w:t>40</w:t>
      </w:r>
      <w:r>
        <w:rPr>
          <w:rFonts w:hint="eastAsia" w:ascii="仿宋_GB2312" w:hAnsi="仿宋" w:cs="Times New Roman"/>
          <w:szCs w:val="32"/>
          <w:lang w:eastAsia="zh-CN"/>
        </w:rPr>
        <w:t>万元，执行数</w:t>
      </w:r>
      <w:r>
        <w:rPr>
          <w:rFonts w:hint="eastAsia" w:ascii="仿宋_GB2312" w:hAnsi="仿宋" w:cs="Times New Roman"/>
          <w:szCs w:val="32"/>
          <w:lang w:val="en-US" w:eastAsia="zh-CN"/>
        </w:rPr>
        <w:t>40</w:t>
      </w:r>
      <w:r>
        <w:rPr>
          <w:rFonts w:hint="eastAsia" w:ascii="仿宋_GB2312" w:hAnsi="仿宋" w:cs="Times New Roman"/>
          <w:szCs w:val="32"/>
          <w:lang w:eastAsia="zh-CN"/>
        </w:rPr>
        <w:t>万元，完成预算的100%。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szCs w:val="32"/>
          <w:lang w:eastAsia="zh-CN"/>
        </w:rPr>
      </w:pPr>
      <w:r>
        <w:rPr>
          <w:rFonts w:hint="eastAsia" w:ascii="仿宋_GB2312" w:hAnsi="仿宋" w:cs="Times New Roman"/>
          <w:szCs w:val="32"/>
          <w:lang w:eastAsia="zh-CN"/>
        </w:rPr>
        <w:t>项目绩效目标完成情况：一是全年开展各类科普讲座、科普巡展、科普咨询、科普交流等活动</w:t>
      </w:r>
      <w:r>
        <w:rPr>
          <w:rFonts w:hint="eastAsia" w:ascii="仿宋_GB2312" w:hAnsi="仿宋" w:cs="Times New Roman"/>
          <w:szCs w:val="32"/>
          <w:lang w:val="en-US" w:eastAsia="zh-CN"/>
        </w:rPr>
        <w:t>32</w:t>
      </w:r>
      <w:r>
        <w:rPr>
          <w:rFonts w:hint="eastAsia" w:ascii="仿宋_GB2312" w:hAnsi="仿宋" w:cs="Times New Roman"/>
          <w:szCs w:val="32"/>
          <w:lang w:eastAsia="zh-CN"/>
        </w:rPr>
        <w:t>场次；二是开展各级社区、农技协、教育基地示范创建工作，成功创建</w:t>
      </w:r>
      <w:r>
        <w:rPr>
          <w:rFonts w:hint="eastAsia" w:ascii="仿宋_GB2312" w:hAnsi="仿宋" w:cs="Times New Roman"/>
          <w:szCs w:val="32"/>
          <w:lang w:val="en-US" w:eastAsia="zh-CN"/>
        </w:rPr>
        <w:t>18</w:t>
      </w:r>
      <w:r>
        <w:rPr>
          <w:rFonts w:hint="eastAsia" w:ascii="仿宋_GB2312" w:hAnsi="仿宋" w:cs="Times New Roman"/>
          <w:szCs w:val="32"/>
          <w:lang w:eastAsia="zh-CN"/>
        </w:rPr>
        <w:t>家（个）；三是开展科普中国e站建设、科普活动室建设等，建成</w:t>
      </w:r>
      <w:r>
        <w:rPr>
          <w:rFonts w:hint="eastAsia" w:ascii="仿宋_GB2312" w:hAnsi="仿宋" w:cs="Times New Roman"/>
          <w:szCs w:val="32"/>
          <w:lang w:val="en-US" w:eastAsia="zh-CN"/>
        </w:rPr>
        <w:t>20</w:t>
      </w:r>
      <w:r>
        <w:rPr>
          <w:rFonts w:hint="eastAsia" w:ascii="仿宋_GB2312" w:hAnsi="仿宋" w:cs="Times New Roman"/>
          <w:szCs w:val="32"/>
          <w:lang w:eastAsia="zh-CN"/>
        </w:rPr>
        <w:t>处；四是开办科普电视栏目、办好“蚌埠科协”微信、推进“科普中国”落地应用，不断提升收视度、关注度。通过全民科学素质行动计划纲要实施项目，进一步营造了学科学、懂科学、用科学良好氛围，不断提升我市公民科学素质，也受到了广大群众的一致好评。发现的主要问题及原因：“科普中国”落地应用广度还不够，还没有被更多的群众认可。主要是推广的力度不够。下一步改进措施：加强“科普中国”宣传推广力度，每年再提高5000用户的关注度。进一步营造了学科学、懂科学、用科学良好氛围，不断提升我市公民科学素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cs="Times New Roman"/>
          <w:szCs w:val="32"/>
          <w:lang w:eastAsia="zh-CN"/>
        </w:rPr>
      </w:pPr>
      <w:r>
        <w:rPr>
          <w:rFonts w:hint="eastAsia" w:ascii="仿宋_GB2312" w:hAnsi="仿宋"/>
          <w:b w:val="0"/>
          <w:bCs w:val="0"/>
          <w:szCs w:val="32"/>
          <w:lang w:eastAsia="zh-CN"/>
        </w:rPr>
        <w:t>（</w:t>
      </w:r>
      <w:r>
        <w:rPr>
          <w:rFonts w:hint="eastAsia" w:ascii="仿宋_GB2312" w:hAnsi="仿宋"/>
          <w:b w:val="0"/>
          <w:bCs w:val="0"/>
          <w:szCs w:val="32"/>
          <w:lang w:val="en-US" w:eastAsia="zh-CN"/>
        </w:rPr>
        <w:t>2</w:t>
      </w:r>
      <w:r>
        <w:rPr>
          <w:rFonts w:hint="eastAsia" w:ascii="仿宋_GB2312" w:hAnsi="仿宋"/>
          <w:b w:val="0"/>
          <w:bCs w:val="0"/>
          <w:szCs w:val="32"/>
          <w:lang w:eastAsia="zh-CN"/>
        </w:rPr>
        <w:t>）</w:t>
      </w:r>
      <w:r>
        <w:rPr>
          <w:rFonts w:hint="eastAsia" w:ascii="仿宋_GB2312" w:hAnsi="仿宋"/>
          <w:b w:val="0"/>
          <w:bCs w:val="0"/>
          <w:szCs w:val="32"/>
        </w:rPr>
        <w:t>科普宣传项目绩效自评综述：</w:t>
      </w:r>
      <w:r>
        <w:rPr>
          <w:rFonts w:hint="eastAsia" w:ascii="仿宋_GB2312" w:hAnsi="仿宋" w:cs="Times New Roman"/>
          <w:szCs w:val="32"/>
          <w:lang w:eastAsia="zh-CN"/>
        </w:rPr>
        <w:t>项目自评得分99分，全年预算数</w:t>
      </w:r>
      <w:r>
        <w:rPr>
          <w:rFonts w:hint="eastAsia" w:ascii="仿宋_GB2312" w:hAnsi="仿宋" w:cs="Times New Roman"/>
          <w:szCs w:val="32"/>
          <w:lang w:val="en-US" w:eastAsia="zh-CN"/>
        </w:rPr>
        <w:t>4</w:t>
      </w:r>
      <w:r>
        <w:rPr>
          <w:rFonts w:hint="eastAsia" w:ascii="仿宋_GB2312" w:hAnsi="仿宋" w:cs="Times New Roman"/>
          <w:szCs w:val="32"/>
          <w:lang w:eastAsia="zh-CN"/>
        </w:rPr>
        <w:t>0万元，执行数</w:t>
      </w:r>
      <w:r>
        <w:rPr>
          <w:rFonts w:hint="eastAsia" w:ascii="仿宋_GB2312" w:hAnsi="仿宋" w:cs="Times New Roman"/>
          <w:szCs w:val="32"/>
          <w:lang w:val="en-US" w:eastAsia="zh-CN"/>
        </w:rPr>
        <w:t>4</w:t>
      </w:r>
      <w:r>
        <w:rPr>
          <w:rFonts w:hint="eastAsia" w:ascii="仿宋_GB2312" w:hAnsi="仿宋" w:cs="Times New Roman"/>
          <w:szCs w:val="32"/>
          <w:lang w:eastAsia="zh-CN"/>
        </w:rPr>
        <w:t>0万元，完成预算的100%。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cs="Times New Roman"/>
          <w:szCs w:val="32"/>
          <w:lang w:eastAsia="zh-CN"/>
        </w:rPr>
        <w:t>项目绩效目标完成情况：一是全年开展各类科普讲座、科普巡展、科普咨询、科普交流等活动</w:t>
      </w:r>
      <w:r>
        <w:rPr>
          <w:rFonts w:hint="eastAsia" w:ascii="仿宋_GB2312" w:hAnsi="仿宋" w:cs="Times New Roman"/>
          <w:szCs w:val="32"/>
          <w:lang w:val="en-US" w:eastAsia="zh-CN"/>
        </w:rPr>
        <w:t>28</w:t>
      </w:r>
      <w:r>
        <w:rPr>
          <w:rFonts w:hint="eastAsia" w:ascii="仿宋_GB2312" w:hAnsi="仿宋" w:cs="Times New Roman"/>
          <w:szCs w:val="32"/>
          <w:lang w:eastAsia="zh-CN"/>
        </w:rPr>
        <w:t>场次；二是举办送科技下乡、科技活动周、全国科普日、科普大篷车巡展等活动</w:t>
      </w:r>
      <w:r>
        <w:rPr>
          <w:rFonts w:hint="eastAsia" w:ascii="仿宋_GB2312" w:hAnsi="仿宋" w:cs="Times New Roman"/>
          <w:szCs w:val="32"/>
          <w:lang w:val="en-US" w:eastAsia="zh-CN"/>
        </w:rPr>
        <w:t>30</w:t>
      </w:r>
      <w:r>
        <w:rPr>
          <w:rFonts w:hint="eastAsia" w:ascii="仿宋_GB2312" w:hAnsi="仿宋" w:cs="Times New Roman"/>
          <w:szCs w:val="32"/>
          <w:lang w:eastAsia="zh-CN"/>
        </w:rPr>
        <w:t>场次；三是开展防灾减灾、食品安全、生态文明、土壤污染防治、生物技术等五项专题科普宣传等</w:t>
      </w:r>
      <w:r>
        <w:rPr>
          <w:rFonts w:hint="eastAsia" w:ascii="仿宋_GB2312" w:hAnsi="仿宋" w:cs="Times New Roman"/>
          <w:szCs w:val="32"/>
          <w:lang w:val="en-US" w:eastAsia="zh-CN"/>
        </w:rPr>
        <w:t>20</w:t>
      </w:r>
      <w:r>
        <w:rPr>
          <w:rFonts w:hint="eastAsia" w:ascii="仿宋_GB2312" w:hAnsi="仿宋" w:cs="Times New Roman"/>
          <w:szCs w:val="32"/>
          <w:lang w:eastAsia="zh-CN"/>
        </w:rPr>
        <w:t>场次；四是实施科普惠民为民行动，开展活动</w:t>
      </w:r>
      <w:r>
        <w:rPr>
          <w:rFonts w:hint="eastAsia" w:ascii="仿宋_GB2312" w:hAnsi="仿宋" w:cs="Times New Roman"/>
          <w:szCs w:val="32"/>
          <w:lang w:val="en-US" w:eastAsia="zh-CN"/>
        </w:rPr>
        <w:t>65</w:t>
      </w:r>
      <w:r>
        <w:rPr>
          <w:rFonts w:hint="eastAsia" w:ascii="仿宋_GB2312" w:hAnsi="仿宋" w:cs="Times New Roman"/>
          <w:szCs w:val="32"/>
          <w:lang w:eastAsia="zh-CN"/>
        </w:rPr>
        <w:t>场次，较好地完成了年度计划任务。通过开展科普宣传活动，进一步营造了学科学、懂科学、用科学良好氛围，不断提升我市公民科学素质，也受到了广大群众的一致好评。发现的主要问题及原因：</w:t>
      </w:r>
      <w:r>
        <w:rPr>
          <w:rFonts w:hint="eastAsia" w:ascii="仿宋_GB2312" w:hAnsi="仿宋" w:eastAsia="仿宋_GB2312" w:cs="Times New Roman"/>
          <w:sz w:val="32"/>
          <w:szCs w:val="32"/>
          <w:lang w:eastAsia="zh-CN"/>
        </w:rPr>
        <w:t>开展科普宣传活动主要存在科普资源开发、利用的能力不足，开展科普宣传的手段不多</w:t>
      </w:r>
      <w:r>
        <w:rPr>
          <w:rFonts w:hint="eastAsia" w:ascii="仿宋_GB2312" w:hAnsi="仿宋" w:cs="Times New Roman"/>
          <w:sz w:val="32"/>
          <w:szCs w:val="32"/>
          <w:lang w:eastAsia="zh-CN"/>
        </w:rPr>
        <w:t>，主要是</w:t>
      </w:r>
      <w:r>
        <w:rPr>
          <w:rFonts w:hint="eastAsia" w:ascii="仿宋_GB2312" w:hAnsi="仿宋" w:eastAsia="仿宋_GB2312" w:cs="Times New Roman"/>
          <w:sz w:val="32"/>
          <w:szCs w:val="32"/>
          <w:lang w:eastAsia="zh-CN"/>
        </w:rPr>
        <w:t>基层科普工作人员多是兼职人员，开展活动时缺少组织和讲解人员，造成科普宣传效果不明显。</w:t>
      </w:r>
      <w:r>
        <w:rPr>
          <w:rFonts w:hint="eastAsia" w:ascii="仿宋_GB2312" w:hAnsi="仿宋" w:cs="Times New Roman"/>
          <w:szCs w:val="32"/>
          <w:lang w:eastAsia="zh-CN"/>
        </w:rPr>
        <w:t>下一步改进措施：</w:t>
      </w:r>
      <w:r>
        <w:rPr>
          <w:rFonts w:hint="eastAsia" w:ascii="仿宋_GB2312" w:hAnsi="仿宋" w:eastAsia="仿宋_GB2312" w:cs="Times New Roman"/>
          <w:sz w:val="32"/>
          <w:szCs w:val="32"/>
          <w:lang w:eastAsia="zh-CN"/>
        </w:rPr>
        <w:t>广泛组织开展科技活动周、全国科普日、生态文明、防灾减灾、土壤污染防治、食品安全等主题科普活动；深入开展科普惠民乡村行、智爱妈妈行动、农村少儿爱科学活动等专题科普活动；宣传创新、协调、绿色、开放、共享发展新理念，普及绿色发展、安全生产、节约资源、保护环境、卫生健康等科学知识和观念。进一步提升开展应急科普宣传活动的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cs="Times New Roman"/>
          <w:szCs w:val="32"/>
          <w:lang w:eastAsia="zh-CN"/>
        </w:rPr>
      </w:pPr>
      <w:r>
        <w:rPr>
          <w:rFonts w:hint="eastAsia" w:ascii="仿宋_GB2312" w:hAnsi="仿宋"/>
          <w:b w:val="0"/>
          <w:bCs w:val="0"/>
          <w:szCs w:val="32"/>
          <w:lang w:eastAsia="zh-CN"/>
        </w:rPr>
        <w:t>（</w:t>
      </w:r>
      <w:r>
        <w:rPr>
          <w:rFonts w:hint="eastAsia" w:ascii="仿宋_GB2312" w:hAnsi="仿宋"/>
          <w:b w:val="0"/>
          <w:bCs w:val="0"/>
          <w:szCs w:val="32"/>
          <w:lang w:val="en-US" w:eastAsia="zh-CN"/>
        </w:rPr>
        <w:t>3</w:t>
      </w:r>
      <w:r>
        <w:rPr>
          <w:rFonts w:hint="eastAsia" w:ascii="仿宋_GB2312" w:hAnsi="仿宋"/>
          <w:b w:val="0"/>
          <w:bCs w:val="0"/>
          <w:szCs w:val="32"/>
          <w:lang w:eastAsia="zh-CN"/>
        </w:rPr>
        <w:t>）</w:t>
      </w:r>
      <w:r>
        <w:rPr>
          <w:rFonts w:hint="eastAsia" w:ascii="仿宋_GB2312" w:hAnsi="仿宋"/>
          <w:b w:val="0"/>
          <w:bCs w:val="0"/>
          <w:szCs w:val="32"/>
        </w:rPr>
        <w:t>反邪教科普宣传项目绩效自评综述：</w:t>
      </w:r>
      <w:r>
        <w:rPr>
          <w:rFonts w:hint="eastAsia" w:ascii="仿宋_GB2312" w:hAnsi="仿宋" w:cs="Times New Roman"/>
          <w:szCs w:val="32"/>
          <w:lang w:eastAsia="zh-CN"/>
        </w:rPr>
        <w:t>项目自评得分</w:t>
      </w:r>
      <w:r>
        <w:rPr>
          <w:rFonts w:hint="eastAsia" w:ascii="仿宋_GB2312" w:hAnsi="仿宋" w:cs="Times New Roman"/>
          <w:szCs w:val="32"/>
          <w:lang w:val="en-US" w:eastAsia="zh-CN"/>
        </w:rPr>
        <w:t>99</w:t>
      </w:r>
      <w:r>
        <w:rPr>
          <w:rFonts w:hint="eastAsia" w:ascii="仿宋_GB2312" w:hAnsi="仿宋" w:cs="Times New Roman"/>
          <w:szCs w:val="32"/>
          <w:lang w:eastAsia="zh-CN"/>
        </w:rPr>
        <w:t>分，全年预算数</w:t>
      </w:r>
      <w:r>
        <w:rPr>
          <w:rFonts w:hint="eastAsia" w:ascii="仿宋_GB2312" w:hAnsi="仿宋" w:cs="Times New Roman"/>
          <w:szCs w:val="32"/>
          <w:lang w:val="en-US" w:eastAsia="zh-CN"/>
        </w:rPr>
        <w:t>10</w:t>
      </w:r>
      <w:r>
        <w:rPr>
          <w:rFonts w:hint="eastAsia" w:ascii="仿宋_GB2312" w:hAnsi="仿宋" w:cs="Times New Roman"/>
          <w:szCs w:val="32"/>
          <w:lang w:eastAsia="zh-CN"/>
        </w:rPr>
        <w:t>万元，执行数</w:t>
      </w:r>
      <w:r>
        <w:rPr>
          <w:rFonts w:hint="eastAsia" w:ascii="仿宋_GB2312" w:hAnsi="仿宋" w:cs="Times New Roman"/>
          <w:szCs w:val="32"/>
          <w:lang w:val="en-US" w:eastAsia="zh-CN"/>
        </w:rPr>
        <w:t>10</w:t>
      </w:r>
      <w:r>
        <w:rPr>
          <w:rFonts w:hint="eastAsia" w:ascii="仿宋_GB2312" w:hAnsi="仿宋" w:cs="Times New Roman"/>
          <w:szCs w:val="32"/>
          <w:lang w:eastAsia="zh-CN"/>
        </w:rPr>
        <w:t>万元，完成预算的100%。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cs="Times New Roman"/>
          <w:szCs w:val="32"/>
          <w:lang w:eastAsia="zh-CN"/>
        </w:rPr>
        <w:t>项目绩效目标完成情况：一是全年开展各类科普讲座、科普巡展、科普咨询等活动</w:t>
      </w:r>
      <w:r>
        <w:rPr>
          <w:rFonts w:hint="eastAsia" w:ascii="仿宋_GB2312" w:hAnsi="仿宋" w:cs="Times New Roman"/>
          <w:szCs w:val="32"/>
          <w:lang w:val="en-US" w:eastAsia="zh-CN"/>
        </w:rPr>
        <w:t>10</w:t>
      </w:r>
      <w:r>
        <w:rPr>
          <w:rFonts w:hint="eastAsia" w:ascii="仿宋_GB2312" w:hAnsi="仿宋" w:cs="Times New Roman"/>
          <w:szCs w:val="32"/>
          <w:lang w:eastAsia="zh-CN"/>
        </w:rPr>
        <w:t>场次；二是开展反邪教科普展板、宣传册、图书制作，完成制作展板2套，印制科普图书；三是利用“蚌埠科协”微信，开展科普宣传活动等，开展一期反邪教科普知识答题活动，参与答题人数超65000人次，较好地完成了年度计划任务。通过开展反邪教科普宣传活动，进一步营造了学科学、懂科学、用科学良好氛围，不断提升我市公民科学素质，也受到了广大群众的一致好评。发现的主要问题及原因：</w:t>
      </w:r>
      <w:r>
        <w:rPr>
          <w:rFonts w:hint="eastAsia" w:ascii="仿宋_GB2312" w:hAnsi="仿宋" w:eastAsia="仿宋_GB2312" w:cs="Times New Roman"/>
          <w:sz w:val="32"/>
          <w:szCs w:val="32"/>
          <w:lang w:eastAsia="zh-CN"/>
        </w:rPr>
        <w:t>开展反邪教科普宣传活动的深度和广度不够，尤其面向偏远地区开展反邪教科普宣传，延伸的力度更加薄弱</w:t>
      </w:r>
      <w:r>
        <w:rPr>
          <w:rFonts w:hint="eastAsia" w:ascii="仿宋_GB2312" w:hAnsi="仿宋" w:cs="Times New Roman"/>
          <w:sz w:val="32"/>
          <w:szCs w:val="32"/>
          <w:lang w:eastAsia="zh-CN"/>
        </w:rPr>
        <w:t>，主要是</w:t>
      </w:r>
      <w:r>
        <w:rPr>
          <w:rFonts w:hint="eastAsia" w:ascii="仿宋_GB2312" w:hAnsi="仿宋" w:eastAsia="仿宋_GB2312" w:cs="Times New Roman"/>
          <w:sz w:val="32"/>
          <w:szCs w:val="32"/>
          <w:lang w:eastAsia="zh-CN"/>
        </w:rPr>
        <w:t>科普宣传的手段和科普志愿者队伍，还不能很好地满足开展科普服务的需要。</w:t>
      </w:r>
      <w:r>
        <w:rPr>
          <w:rFonts w:hint="eastAsia" w:ascii="仿宋_GB2312" w:hAnsi="仿宋" w:cs="Times New Roman"/>
          <w:szCs w:val="32"/>
          <w:lang w:eastAsia="zh-CN"/>
        </w:rPr>
        <w:t>下一步改进措施：</w:t>
      </w:r>
      <w:r>
        <w:rPr>
          <w:rFonts w:hint="eastAsia" w:ascii="仿宋_GB2312" w:hAnsi="仿宋" w:eastAsia="仿宋_GB2312" w:cs="Times New Roman"/>
          <w:sz w:val="32"/>
          <w:szCs w:val="32"/>
          <w:lang w:eastAsia="zh-CN"/>
        </w:rPr>
        <w:t>采取群众易于理解、便于参与、线上线下结合的方式，广泛组织开展反邪教科普宣传活动，尤其面向边远农村开展移风易俗，破除陈规陋习，反对迷信和邪教的科普宣传活动，在全市营造崇尚科学文明的良好氛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cs="Times New Roman"/>
          <w:szCs w:val="32"/>
          <w:lang w:eastAsia="zh-CN"/>
        </w:rPr>
      </w:pPr>
      <w:r>
        <w:rPr>
          <w:rFonts w:hint="eastAsia" w:ascii="仿宋_GB2312" w:hAnsi="仿宋"/>
          <w:b w:val="0"/>
          <w:bCs w:val="0"/>
          <w:szCs w:val="32"/>
          <w:lang w:eastAsia="zh-CN"/>
        </w:rPr>
        <w:t>（</w:t>
      </w:r>
      <w:r>
        <w:rPr>
          <w:rFonts w:hint="eastAsia" w:ascii="仿宋_GB2312" w:hAnsi="仿宋"/>
          <w:b w:val="0"/>
          <w:bCs w:val="0"/>
          <w:szCs w:val="32"/>
          <w:lang w:val="en-US" w:eastAsia="zh-CN"/>
        </w:rPr>
        <w:t>4</w:t>
      </w:r>
      <w:r>
        <w:rPr>
          <w:rFonts w:hint="eastAsia" w:ascii="仿宋_GB2312" w:hAnsi="仿宋"/>
          <w:b w:val="0"/>
          <w:bCs w:val="0"/>
          <w:szCs w:val="32"/>
          <w:lang w:eastAsia="zh-CN"/>
        </w:rPr>
        <w:t>）</w:t>
      </w:r>
      <w:r>
        <w:rPr>
          <w:rFonts w:hint="eastAsia" w:ascii="仿宋_GB2312" w:hAnsi="仿宋_GB2312" w:cs="仿宋_GB2312"/>
          <w:color w:val="000000"/>
          <w:sz w:val="32"/>
          <w:szCs w:val="32"/>
        </w:rPr>
        <w:t>中国科协海智计划项目</w:t>
      </w:r>
      <w:r>
        <w:rPr>
          <w:rFonts w:hint="eastAsia" w:ascii="仿宋_GB2312" w:hAnsi="仿宋"/>
          <w:b w:val="0"/>
          <w:bCs w:val="0"/>
          <w:szCs w:val="32"/>
        </w:rPr>
        <w:t>绩效自评综述：</w:t>
      </w:r>
      <w:r>
        <w:rPr>
          <w:rFonts w:hint="eastAsia" w:ascii="仿宋_GB2312" w:hAnsi="仿宋" w:cs="Times New Roman"/>
          <w:szCs w:val="32"/>
          <w:lang w:eastAsia="zh-CN"/>
        </w:rPr>
        <w:t>项目自评得分</w:t>
      </w:r>
      <w:r>
        <w:rPr>
          <w:rFonts w:hint="eastAsia" w:ascii="仿宋_GB2312" w:hAnsi="仿宋" w:cs="Times New Roman"/>
          <w:szCs w:val="32"/>
          <w:lang w:val="en-US" w:eastAsia="zh-CN"/>
        </w:rPr>
        <w:t>96</w:t>
      </w:r>
      <w:r>
        <w:rPr>
          <w:rFonts w:hint="eastAsia" w:ascii="仿宋_GB2312" w:hAnsi="仿宋" w:cs="Times New Roman"/>
          <w:szCs w:val="32"/>
          <w:lang w:eastAsia="zh-CN"/>
        </w:rPr>
        <w:t>分，全年预算数10万元，执行数10万元，完成预算的100%。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cs="仿宋_GB2312"/>
          <w:color w:val="000000"/>
          <w:sz w:val="32"/>
          <w:szCs w:val="32"/>
        </w:rPr>
      </w:pPr>
      <w:r>
        <w:rPr>
          <w:rFonts w:hint="eastAsia" w:ascii="仿宋_GB2312" w:hAnsi="仿宋" w:cs="Times New Roman"/>
          <w:szCs w:val="32"/>
          <w:lang w:eastAsia="zh-CN"/>
        </w:rPr>
        <w:t>项目绩效目标完成情况：一是组织动员有关学会、协会、研究会参加中国科协年会；二是评定和表彰并奖励年度优秀学会；三是组织动员全市各级学会开展学术交流活动，提高我市科技类学会影响力和认知度。发现的主要问题及原因：海智活动数量减少，主要是受到新冠疫情影响。下一步改进措施：寻求新方式开展活动，丰富线上国际学术交流。</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 w:cs="Times New Roman"/>
          <w:szCs w:val="32"/>
          <w:lang w:eastAsia="zh-CN"/>
        </w:rPr>
      </w:pPr>
      <w:r>
        <w:rPr>
          <w:rFonts w:cs="仿宋_GB2312"/>
          <w:sz w:val="32"/>
          <w:szCs w:val="32"/>
        </w:rPr>
        <w:t>创新驱动助力工程项目</w:t>
      </w:r>
      <w:r>
        <w:rPr>
          <w:rFonts w:hint="eastAsia" w:ascii="仿宋_GB2312" w:hAnsi="仿宋"/>
          <w:b w:val="0"/>
          <w:bCs w:val="0"/>
          <w:szCs w:val="32"/>
        </w:rPr>
        <w:t>绩效自评综述：</w:t>
      </w:r>
      <w:r>
        <w:rPr>
          <w:rFonts w:hint="eastAsia" w:ascii="仿宋_GB2312" w:hAnsi="仿宋" w:cs="Times New Roman"/>
          <w:szCs w:val="32"/>
          <w:lang w:eastAsia="zh-CN"/>
        </w:rPr>
        <w:t>项目自评得分</w:t>
      </w:r>
      <w:r>
        <w:rPr>
          <w:rFonts w:hint="eastAsia" w:ascii="仿宋_GB2312" w:hAnsi="仿宋" w:cs="Times New Roman"/>
          <w:szCs w:val="32"/>
          <w:lang w:val="en-US" w:eastAsia="zh-CN"/>
        </w:rPr>
        <w:t>98</w:t>
      </w:r>
      <w:r>
        <w:rPr>
          <w:rFonts w:hint="eastAsia" w:ascii="仿宋_GB2312" w:hAnsi="仿宋" w:cs="Times New Roman"/>
          <w:szCs w:val="32"/>
          <w:lang w:eastAsia="zh-CN"/>
        </w:rPr>
        <w:t>分，全年预算数10万元，执行数10万元，完成预算的100%。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cs="Times New Roman"/>
          <w:szCs w:val="32"/>
          <w:lang w:eastAsia="zh-CN"/>
        </w:rPr>
      </w:pPr>
      <w:r>
        <w:rPr>
          <w:rFonts w:hint="eastAsia" w:ascii="仿宋_GB2312" w:hAnsi="仿宋" w:cs="Times New Roman"/>
          <w:szCs w:val="32"/>
          <w:lang w:eastAsia="zh-CN"/>
        </w:rPr>
        <w:t>项目绩效目标完成情况：一是</w:t>
      </w:r>
      <w:r>
        <w:rPr>
          <w:rFonts w:hint="eastAsia" w:ascii="仿宋_GB2312" w:hAnsi="仿宋" w:cs="Times New Roman"/>
          <w:sz w:val="32"/>
          <w:szCs w:val="32"/>
          <w:lang w:eastAsia="zh-CN"/>
        </w:rPr>
        <w:t>市花卉协会驻荆涂石榴专业合作社专家工作站研究石榴新品种的引种驯化，帮助企业解决关键技术问题；二是市信息技术协会驻安徽微乐智能科技有限公司专家工作站致力于运用虚拟现实技术实现一种全新的的教学方式。为基础教育、职业教育、高等教育及医疗行业、工程领域等提供VR/AR/MR教学的整体解决方案；三是市农学会驻安徽徽普生物科技有限责任公司专家工作站围绕生物有机物产业化技术，开展利用有机废弃物快速生产商品有机肥、功能性微生物肥料产业化技术、功能性微生物肥料研发等技术研究与示范，提高企业有机肥产业化水平；四是市药学会驻安徽宏业药业有限公司专家工作站在初次规模化生产过程中保证盐酸乐卡地平产品质量，符合国家药典（2020版）要求，协助药品产业化生产；五是市信息技术协会驻安徽鹏程九州信息产业有限公司专家工作站优化教育信息化项目系统集成设计。</w:t>
      </w:r>
      <w:r>
        <w:rPr>
          <w:rFonts w:hint="eastAsia" w:ascii="仿宋_GB2312" w:hAnsi="仿宋" w:cs="Times New Roman"/>
          <w:szCs w:val="32"/>
          <w:lang w:eastAsia="zh-CN"/>
        </w:rPr>
        <w:t>发现的主要问题及原因：</w:t>
      </w:r>
      <w:r>
        <w:rPr>
          <w:rFonts w:hint="eastAsia" w:cs="仿宋_GB2312"/>
          <w:sz w:val="32"/>
          <w:szCs w:val="32"/>
          <w:lang w:eastAsia="zh-CN"/>
        </w:rPr>
        <w:t>关注新建工作站较多，关注存量工作站较少，主要是调研不够。</w:t>
      </w:r>
      <w:r>
        <w:rPr>
          <w:rFonts w:hint="eastAsia" w:ascii="仿宋_GB2312" w:hAnsi="仿宋" w:cs="Times New Roman"/>
          <w:szCs w:val="32"/>
          <w:lang w:eastAsia="zh-CN"/>
        </w:rPr>
        <w:t>下一步改进措施：</w:t>
      </w:r>
      <w:r>
        <w:rPr>
          <w:rFonts w:hint="eastAsia" w:cs="仿宋_GB2312"/>
          <w:sz w:val="32"/>
          <w:szCs w:val="32"/>
          <w:lang w:eastAsia="zh-CN"/>
        </w:rPr>
        <w:t>加强调研，多方位了解，对新旧工作站同样给予关注。</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 w:cs="Times New Roman"/>
          <w:szCs w:val="32"/>
          <w:lang w:eastAsia="zh-CN"/>
        </w:rPr>
      </w:pPr>
      <w:r>
        <w:rPr>
          <w:rFonts w:hint="eastAsia" w:cs="仿宋_GB2312"/>
          <w:sz w:val="32"/>
          <w:szCs w:val="32"/>
        </w:rPr>
        <w:t>学术交流项目</w:t>
      </w:r>
      <w:r>
        <w:rPr>
          <w:rFonts w:hint="eastAsia" w:ascii="仿宋_GB2312" w:hAnsi="仿宋"/>
          <w:b w:val="0"/>
          <w:bCs w:val="0"/>
          <w:szCs w:val="32"/>
        </w:rPr>
        <w:t>绩效自评综述：</w:t>
      </w:r>
      <w:r>
        <w:rPr>
          <w:rFonts w:hint="eastAsia" w:ascii="仿宋_GB2312" w:hAnsi="仿宋" w:cs="Times New Roman"/>
          <w:szCs w:val="32"/>
          <w:lang w:eastAsia="zh-CN"/>
        </w:rPr>
        <w:t>项目自评得分</w:t>
      </w:r>
      <w:r>
        <w:rPr>
          <w:rFonts w:hint="eastAsia" w:ascii="仿宋_GB2312" w:hAnsi="仿宋" w:cs="Times New Roman"/>
          <w:szCs w:val="32"/>
          <w:lang w:val="en-US" w:eastAsia="zh-CN"/>
        </w:rPr>
        <w:t>98</w:t>
      </w:r>
      <w:r>
        <w:rPr>
          <w:rFonts w:hint="eastAsia" w:ascii="仿宋_GB2312" w:hAnsi="仿宋" w:cs="Times New Roman"/>
          <w:szCs w:val="32"/>
          <w:lang w:eastAsia="zh-CN"/>
        </w:rPr>
        <w:t>分，全年预算数</w:t>
      </w:r>
      <w:r>
        <w:rPr>
          <w:rFonts w:hint="eastAsia" w:ascii="仿宋_GB2312" w:hAnsi="仿宋" w:cs="Times New Roman"/>
          <w:szCs w:val="32"/>
          <w:lang w:val="en-US" w:eastAsia="zh-CN"/>
        </w:rPr>
        <w:t>8.8</w:t>
      </w:r>
      <w:r>
        <w:rPr>
          <w:rFonts w:hint="eastAsia" w:ascii="仿宋_GB2312" w:hAnsi="仿宋" w:cs="Times New Roman"/>
          <w:szCs w:val="32"/>
          <w:lang w:eastAsia="zh-CN"/>
        </w:rPr>
        <w:t>万元，执行数</w:t>
      </w:r>
      <w:r>
        <w:rPr>
          <w:rFonts w:hint="eastAsia" w:ascii="仿宋_GB2312" w:hAnsi="仿宋" w:cs="Times New Roman"/>
          <w:szCs w:val="32"/>
          <w:lang w:val="en-US" w:eastAsia="zh-CN"/>
        </w:rPr>
        <w:t>8.8</w:t>
      </w:r>
      <w:r>
        <w:rPr>
          <w:rFonts w:hint="eastAsia" w:ascii="仿宋_GB2312" w:hAnsi="仿宋" w:cs="Times New Roman"/>
          <w:szCs w:val="32"/>
          <w:lang w:eastAsia="zh-CN"/>
        </w:rPr>
        <w:t>万元，完成预算的100%。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cs="Times New Roman"/>
          <w:szCs w:val="32"/>
          <w:lang w:eastAsia="zh-CN"/>
        </w:rPr>
      </w:pPr>
      <w:r>
        <w:rPr>
          <w:rFonts w:hint="eastAsia" w:ascii="仿宋_GB2312" w:hAnsi="仿宋" w:cs="Times New Roman"/>
          <w:szCs w:val="32"/>
          <w:lang w:eastAsia="zh-CN"/>
        </w:rPr>
        <w:t>项目绩效目标完成情况：一是</w:t>
      </w:r>
      <w:r>
        <w:rPr>
          <w:rFonts w:hint="eastAsia" w:ascii="仿宋_GB2312" w:hAnsi="仿宋" w:cs="Times New Roman"/>
          <w:sz w:val="32"/>
          <w:szCs w:val="32"/>
          <w:lang w:eastAsia="zh-CN"/>
        </w:rPr>
        <w:t>召开蚌埠市硅基新材料产业联盟大会暨2020年度蚌埠市科协年会；二是组织学术活动月，鼓励各学会开展分会场活动；三是鼓励各学会积极开展各式活动，参会指导工作；四是收集汇编科技工作者建言献策十条，报送各单位领导翻阅。</w:t>
      </w:r>
      <w:r>
        <w:rPr>
          <w:rFonts w:hint="eastAsia" w:ascii="仿宋_GB2312" w:hAnsi="仿宋" w:cs="Times New Roman"/>
          <w:szCs w:val="32"/>
          <w:lang w:eastAsia="zh-CN"/>
        </w:rPr>
        <w:t>发现的主要问题及原因：组织学会开展分会场活动时，提供了部分资金支持，每家学会资金数额相同。下一步改进措施：根据每家学会举办活动的不同规模制定梯度，根据实际情况，差异化给予支持。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cs="Times New Roman"/>
          <w:szCs w:val="32"/>
          <w:lang w:eastAsia="zh-CN"/>
        </w:rPr>
      </w:pPr>
      <w:r>
        <w:rPr>
          <w:rFonts w:hint="eastAsia" w:ascii="仿宋_GB2312" w:hAnsi="仿宋"/>
          <w:b w:val="0"/>
          <w:bCs w:val="0"/>
          <w:szCs w:val="32"/>
          <w:lang w:eastAsia="zh-CN"/>
        </w:rPr>
        <w:t>（</w:t>
      </w:r>
      <w:r>
        <w:rPr>
          <w:rFonts w:hint="eastAsia" w:ascii="仿宋_GB2312" w:hAnsi="仿宋"/>
          <w:b w:val="0"/>
          <w:bCs w:val="0"/>
          <w:szCs w:val="32"/>
          <w:lang w:val="en-US" w:eastAsia="zh-CN"/>
        </w:rPr>
        <w:t>7</w:t>
      </w:r>
      <w:r>
        <w:rPr>
          <w:rFonts w:hint="eastAsia" w:ascii="仿宋_GB2312" w:hAnsi="仿宋"/>
          <w:b w:val="0"/>
          <w:bCs w:val="0"/>
          <w:szCs w:val="32"/>
          <w:lang w:eastAsia="zh-CN"/>
        </w:rPr>
        <w:t>）青少年科技活动</w:t>
      </w:r>
      <w:r>
        <w:rPr>
          <w:rFonts w:hint="eastAsia" w:ascii="仿宋_GB2312" w:hAnsi="仿宋"/>
          <w:b w:val="0"/>
          <w:bCs w:val="0"/>
          <w:szCs w:val="32"/>
        </w:rPr>
        <w:t>项目绩效自评综述：</w:t>
      </w:r>
      <w:r>
        <w:rPr>
          <w:rFonts w:hint="eastAsia" w:ascii="仿宋_GB2312" w:hAnsi="仿宋" w:cs="Times New Roman"/>
          <w:szCs w:val="32"/>
          <w:lang w:eastAsia="zh-CN"/>
        </w:rPr>
        <w:t>项目自评得分98.8分，全年预算数10万元，执行数10万元，完成预算的100%。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cs="Times New Roman"/>
          <w:szCs w:val="32"/>
          <w:lang w:eastAsia="zh-CN"/>
        </w:rPr>
      </w:pPr>
      <w:r>
        <w:rPr>
          <w:rFonts w:hint="eastAsia" w:ascii="仿宋_GB2312" w:hAnsi="仿宋" w:cs="Times New Roman"/>
          <w:szCs w:val="32"/>
          <w:lang w:eastAsia="zh-CN"/>
        </w:rPr>
        <w:t>项目绩效目标完成情况：一是组织参加2020年安徽省青少年科技创新大赛，蚌埠市代表团共获得一等奖7项、二等奖15项、三等奖20项。其中3幅少年儿童科学幻想绘画、1项青少年科技实践活动、1项科技辅导员科技教育创新成果代表安徽省参加第三十五届全国青少年科技创新大赛；二是组织参加青少年人工智能创意编程系列活动；组织申报2020年度“全国青少年人工智能活动特色单位”，蚌埠一中、蚌埠田家炳中学申报成功；组织参加2020年全国人工智能普及教育微视频大赛；组织3名科技辅导员参加“2020年安徽省青少年人工智能科普活动骨干教师学习交流活动”，积极准备2021年青少年创意编程与智能设计大赛；三是组织参加第七届“皖新教育杯”安徽青少年科技发明大赛，共推荐8个项目参加，共获得一等奖1项，二等奖1项，三等奖2项，2名学生参加了皖新传媒全程赞助的“冠军智造之旅”；四是组织参加2020年青少年科学影像节活动，蚌埠一中、第一实验学校、第二实验小学、北师大附校、怀远县淝河乡学区中心学校共12项作品参赛，获得科普动画二等奖2项、三等奖1项；科学探究纪录片二等奖3项、三等奖3项，我市9项获奖作品全部推荐参加第十一届全国青少年科学影像节；五是组织参加2020年青少年“云上科学营”活动，蚌埠市第三中学10名学生1名带队教师参加2020年青少年高校科学营华东师范大学分营活动。在营期间，徐婉妍同学的《医者仁心方济世</w:t>
      </w:r>
      <w:r>
        <w:rPr>
          <w:rFonts w:hint="eastAsia" w:ascii="仿宋_GB2312" w:hAnsi="仿宋" w:cs="Times New Roman"/>
          <w:szCs w:val="32"/>
          <w:lang w:val="en-US" w:eastAsia="zh-CN"/>
        </w:rPr>
        <w:t xml:space="preserve"> </w:t>
      </w:r>
      <w:r>
        <w:rPr>
          <w:rFonts w:hint="eastAsia" w:ascii="仿宋_GB2312" w:hAnsi="仿宋" w:cs="Times New Roman"/>
          <w:szCs w:val="32"/>
          <w:lang w:eastAsia="zh-CN"/>
        </w:rPr>
        <w:t>科学实践出真知》和吴文强同学的《云端初相见 别时倍留恋》作文，获安徽省2020年高校科学营优秀征文奖；六是组织申报由中国科协、教育部、国家发改委、中央文明办、团中央主办的2020年全国青少年科学调查体验活动，我市共11所学校申报成功。发现的主要问题及原因：一是</w:t>
      </w:r>
      <w:r>
        <w:rPr>
          <w:rFonts w:hint="eastAsia" w:ascii="仿宋_GB2312" w:eastAsia="仿宋_GB2312"/>
          <w:sz w:val="32"/>
          <w:szCs w:val="32"/>
        </w:rPr>
        <w:t>各县区提交的师生参赛作品质量差距较大、参与活动积极性不</w:t>
      </w:r>
      <w:r>
        <w:rPr>
          <w:rFonts w:hint="eastAsia" w:ascii="仿宋_GB2312"/>
          <w:sz w:val="32"/>
          <w:szCs w:val="32"/>
          <w:lang w:eastAsia="zh-CN"/>
        </w:rPr>
        <w:t>大，主要是</w:t>
      </w:r>
      <w:r>
        <w:rPr>
          <w:rFonts w:hint="eastAsia" w:ascii="仿宋_GB2312" w:eastAsia="仿宋_GB2312"/>
          <w:sz w:val="32"/>
          <w:szCs w:val="32"/>
        </w:rPr>
        <w:t>各县区各学校对教师考核的标准不同</w:t>
      </w:r>
      <w:r>
        <w:rPr>
          <w:rFonts w:hint="eastAsia" w:ascii="仿宋_GB2312"/>
          <w:sz w:val="32"/>
          <w:szCs w:val="32"/>
          <w:lang w:eastAsia="zh-CN"/>
        </w:rPr>
        <w:t>；二是</w:t>
      </w:r>
      <w:r>
        <w:rPr>
          <w:rFonts w:hint="eastAsia" w:ascii="仿宋_GB2312" w:eastAsia="仿宋_GB2312"/>
          <w:sz w:val="32"/>
          <w:szCs w:val="32"/>
        </w:rPr>
        <w:t>申报的作品科技创新没有涉及到前沿领域，创新课题的研究程度也不深</w:t>
      </w:r>
      <w:r>
        <w:rPr>
          <w:rFonts w:hint="eastAsia" w:ascii="仿宋_GB2312"/>
          <w:sz w:val="32"/>
          <w:szCs w:val="32"/>
          <w:lang w:eastAsia="zh-CN"/>
        </w:rPr>
        <w:t>，主要是</w:t>
      </w:r>
      <w:r>
        <w:rPr>
          <w:rFonts w:hint="eastAsia" w:ascii="仿宋_GB2312" w:eastAsia="仿宋_GB2312"/>
          <w:sz w:val="32"/>
          <w:szCs w:val="32"/>
        </w:rPr>
        <w:t>目前我市没有学校存在专职科技辅导员，都由学校教师兼任</w:t>
      </w:r>
      <w:r>
        <w:rPr>
          <w:rFonts w:hint="eastAsia" w:ascii="仿宋_GB2312"/>
          <w:sz w:val="32"/>
          <w:szCs w:val="32"/>
          <w:lang w:eastAsia="zh-CN"/>
        </w:rPr>
        <w:t>；三是</w:t>
      </w:r>
      <w:r>
        <w:rPr>
          <w:rFonts w:hint="eastAsia" w:ascii="仿宋_GB2312" w:eastAsia="仿宋_GB2312"/>
          <w:sz w:val="32"/>
          <w:szCs w:val="32"/>
        </w:rPr>
        <w:t>科技辅导员参与科技科普活动积极性不高</w:t>
      </w:r>
      <w:r>
        <w:rPr>
          <w:rFonts w:hint="eastAsia" w:ascii="仿宋_GB2312"/>
          <w:sz w:val="32"/>
          <w:szCs w:val="32"/>
          <w:lang w:eastAsia="zh-CN"/>
        </w:rPr>
        <w:t>，主要是</w:t>
      </w:r>
      <w:r>
        <w:rPr>
          <w:rFonts w:hint="eastAsia" w:ascii="仿宋_GB2312" w:eastAsia="仿宋_GB2312"/>
          <w:sz w:val="32"/>
          <w:szCs w:val="32"/>
        </w:rPr>
        <w:t>部分学校支持力度不够，奖励、鼓励机制不健全。</w:t>
      </w:r>
      <w:r>
        <w:rPr>
          <w:rFonts w:hint="eastAsia" w:ascii="仿宋_GB2312" w:hAnsi="仿宋" w:cs="Times New Roman"/>
          <w:szCs w:val="32"/>
          <w:lang w:eastAsia="zh-CN"/>
        </w:rPr>
        <w:t>下一步改进措施：</w:t>
      </w:r>
      <w:r>
        <w:rPr>
          <w:rFonts w:hint="eastAsia" w:ascii="仿宋_GB2312"/>
          <w:sz w:val="32"/>
          <w:szCs w:val="32"/>
          <w:lang w:eastAsia="zh-CN"/>
        </w:rPr>
        <w:t>一是</w:t>
      </w:r>
      <w:r>
        <w:rPr>
          <w:rFonts w:hint="eastAsia" w:ascii="仿宋_GB2312" w:eastAsia="仿宋_GB2312"/>
          <w:sz w:val="32"/>
          <w:szCs w:val="32"/>
        </w:rPr>
        <w:t>积极争取各级部门领导对青少年科技活动的重视，加强对青少年科技活动必要的人力、物力和财力支持</w:t>
      </w:r>
      <w:r>
        <w:rPr>
          <w:rFonts w:hint="eastAsia" w:ascii="仿宋_GB2312"/>
          <w:sz w:val="32"/>
          <w:szCs w:val="32"/>
          <w:lang w:eastAsia="zh-CN"/>
        </w:rPr>
        <w:t>；二是</w:t>
      </w:r>
      <w:r>
        <w:rPr>
          <w:rFonts w:hint="eastAsia" w:ascii="仿宋_GB2312" w:eastAsia="仿宋_GB2312"/>
          <w:sz w:val="32"/>
          <w:szCs w:val="32"/>
        </w:rPr>
        <w:t>进一步加强和教育行政部门联系，积极配合推动学校科技教育水平提升</w:t>
      </w:r>
      <w:r>
        <w:rPr>
          <w:rFonts w:hint="eastAsia" w:ascii="仿宋_GB2312"/>
          <w:sz w:val="32"/>
          <w:szCs w:val="32"/>
          <w:lang w:eastAsia="zh-CN"/>
        </w:rPr>
        <w:t>；三是</w:t>
      </w:r>
      <w:r>
        <w:rPr>
          <w:rFonts w:hint="eastAsia" w:ascii="仿宋_GB2312" w:eastAsia="仿宋_GB2312"/>
          <w:sz w:val="32"/>
          <w:szCs w:val="32"/>
        </w:rPr>
        <w:t>规范青少年科技辅导员队伍管理和建设，建立和完善科技教师的考核、奖励制度，组织辅导员进行参观、学习和培训，不断提升辅导员的素质和能力</w:t>
      </w:r>
      <w:r>
        <w:rPr>
          <w:rFonts w:hint="eastAsia" w:ascii="仿宋_GB2312"/>
          <w:sz w:val="32"/>
          <w:szCs w:val="32"/>
          <w:lang w:eastAsia="zh-CN"/>
        </w:rPr>
        <w:t>；四是</w:t>
      </w:r>
      <w:r>
        <w:rPr>
          <w:rFonts w:hint="eastAsia" w:ascii="仿宋_GB2312" w:eastAsia="仿宋_GB2312"/>
          <w:sz w:val="32"/>
          <w:szCs w:val="32"/>
        </w:rPr>
        <w:t>调动青少年参与科技活动的积极性和兴趣，多开展动手做的科普活动，着重探究科学问题，培养青少年的科学思维和动手能力。</w:t>
      </w:r>
    </w:p>
    <w:p>
      <w:pPr>
        <w:ind w:firstLine="643" w:firstLineChars="200"/>
        <w:rPr>
          <w:rFonts w:hint="eastAsia" w:ascii="仿宋_GB2312" w:hAnsi="仿宋_GB2312" w:cs="仿宋_GB2312"/>
          <w:b/>
          <w:bCs/>
          <w:szCs w:val="32"/>
        </w:rPr>
      </w:pPr>
      <w:r>
        <w:rPr>
          <w:rFonts w:hint="eastAsia" w:ascii="仿宋_GB2312" w:hAnsi="仿宋_GB2312" w:cs="仿宋_GB2312"/>
          <w:b/>
          <w:bCs/>
          <w:szCs w:val="32"/>
        </w:rPr>
        <w:t>公开上述项目的《项目支出绩效自评表》。</w:t>
      </w:r>
    </w:p>
    <w:p>
      <w:pPr>
        <w:ind w:firstLine="643" w:firstLineChars="200"/>
        <w:rPr>
          <w:rFonts w:hint="eastAsia" w:ascii="仿宋_GB2312" w:hAnsi="仿宋_GB2312" w:cs="仿宋_GB2312"/>
          <w:b/>
          <w:bCs/>
          <w:szCs w:val="32"/>
        </w:rPr>
      </w:pPr>
      <w:r>
        <w:rPr>
          <w:rFonts w:hint="eastAsia" w:ascii="仿宋_GB2312" w:hAnsi="仿宋_GB2312" w:cs="仿宋_GB2312"/>
          <w:b/>
          <w:bCs/>
          <w:szCs w:val="32"/>
        </w:rPr>
        <w:t>（附件1—附件</w:t>
      </w:r>
      <w:r>
        <w:rPr>
          <w:rFonts w:hint="eastAsia" w:ascii="仿宋_GB2312" w:hAnsi="仿宋_GB2312" w:cs="仿宋_GB2312"/>
          <w:b/>
          <w:bCs/>
          <w:szCs w:val="32"/>
          <w:lang w:val="en-US" w:eastAsia="zh-CN"/>
        </w:rPr>
        <w:t>7</w:t>
      </w:r>
      <w:r>
        <w:rPr>
          <w:rFonts w:hint="eastAsia" w:ascii="仿宋_GB2312" w:hAnsi="仿宋_GB2312" w:cs="仿宋_GB2312"/>
          <w:b/>
          <w:bCs/>
          <w:szCs w:val="32"/>
        </w:rPr>
        <w:t>附后）</w:t>
      </w:r>
    </w:p>
    <w:p>
      <w:pPr>
        <w:ind w:firstLine="643" w:firstLineChars="200"/>
        <w:rPr>
          <w:rFonts w:hint="eastAsia" w:ascii="仿宋_GB2312" w:hAnsi="仿宋_GB2312" w:cs="仿宋_GB2312"/>
          <w:b/>
          <w:bCs/>
          <w:szCs w:val="32"/>
        </w:rPr>
      </w:pPr>
    </w:p>
    <w:p>
      <w:pPr>
        <w:ind w:firstLine="643" w:firstLineChars="200"/>
        <w:rPr>
          <w:rFonts w:hint="eastAsia" w:ascii="仿宋_GB2312" w:hAnsi="仿宋_GB2312" w:cs="仿宋_GB2312"/>
          <w:b/>
          <w:bCs/>
          <w:szCs w:val="32"/>
        </w:rPr>
      </w:pPr>
    </w:p>
    <w:p>
      <w:pPr>
        <w:ind w:firstLine="643" w:firstLineChars="200"/>
        <w:rPr>
          <w:rFonts w:hint="eastAsia" w:ascii="仿宋_GB2312" w:hAnsi="仿宋_GB2312" w:cs="仿宋_GB2312"/>
          <w:b/>
          <w:bCs/>
          <w:szCs w:val="32"/>
        </w:rPr>
      </w:pPr>
    </w:p>
    <w:p>
      <w:pPr>
        <w:ind w:firstLine="643" w:firstLineChars="200"/>
        <w:rPr>
          <w:rFonts w:hint="eastAsia" w:ascii="仿宋_GB2312" w:hAnsi="仿宋_GB2312" w:cs="仿宋_GB2312"/>
          <w:b/>
          <w:bCs/>
          <w:szCs w:val="32"/>
        </w:rPr>
      </w:pPr>
    </w:p>
    <w:p>
      <w:pPr>
        <w:rPr>
          <w:rFonts w:hint="eastAsia" w:ascii="仿宋_GB2312" w:hAnsi="仿宋_GB2312" w:cs="仿宋_GB2312"/>
          <w:b/>
          <w:bCs/>
          <w:szCs w:val="32"/>
        </w:rPr>
        <w:sectPr>
          <w:pgSz w:w="11906" w:h="16838"/>
          <w:pgMar w:top="1440" w:right="1800" w:bottom="1440" w:left="1800" w:header="851" w:footer="992" w:gutter="0"/>
          <w:cols w:space="425" w:num="1"/>
          <w:docGrid w:type="lines" w:linePitch="312" w:charSpace="0"/>
        </w:sectPr>
      </w:pPr>
    </w:p>
    <w:p>
      <w:pPr>
        <w:rPr>
          <w:rFonts w:ascii="仿宋_GB2312" w:hAnsi="仿宋_GB2312" w:cs="仿宋_GB2312"/>
          <w:b/>
          <w:bCs/>
          <w:szCs w:val="32"/>
        </w:rPr>
      </w:pPr>
      <w:r>
        <w:rPr>
          <w:rFonts w:hint="eastAsia" w:ascii="仿宋_GB2312" w:hAnsi="仿宋_GB2312" w:cs="仿宋_GB2312"/>
          <w:b/>
          <w:bCs/>
          <w:szCs w:val="32"/>
        </w:rPr>
        <w:t>附件</w:t>
      </w:r>
      <w:r>
        <w:rPr>
          <w:rFonts w:hint="eastAsia" w:ascii="仿宋_GB2312" w:hAnsi="仿宋_GB2312" w:cs="仿宋_GB2312"/>
          <w:b/>
          <w:bCs/>
          <w:szCs w:val="32"/>
          <w:lang w:val="en-US" w:eastAsia="zh-CN"/>
        </w:rPr>
        <w:t>1</w:t>
      </w:r>
      <w:r>
        <w:rPr>
          <w:rFonts w:hint="eastAsia" w:ascii="仿宋_GB2312" w:hAnsi="仿宋_GB2312" w:cs="仿宋_GB2312"/>
          <w:b/>
          <w:bCs/>
          <w:szCs w:val="32"/>
        </w:rPr>
        <w:t>：</w:t>
      </w:r>
    </w:p>
    <w:tbl>
      <w:tblPr>
        <w:tblStyle w:val="3"/>
        <w:tblW w:w="10680" w:type="dxa"/>
        <w:tblInd w:w="0" w:type="dxa"/>
        <w:tblLayout w:type="fixed"/>
        <w:tblCellMar>
          <w:top w:w="0" w:type="dxa"/>
          <w:left w:w="0" w:type="dxa"/>
          <w:bottom w:w="0" w:type="dxa"/>
          <w:right w:w="0" w:type="dxa"/>
        </w:tblCellMar>
      </w:tblPr>
      <w:tblGrid>
        <w:gridCol w:w="645"/>
        <w:gridCol w:w="1074"/>
        <w:gridCol w:w="1417"/>
        <w:gridCol w:w="717"/>
        <w:gridCol w:w="1565"/>
        <w:gridCol w:w="1171"/>
        <w:gridCol w:w="1098"/>
        <w:gridCol w:w="584"/>
        <w:gridCol w:w="612"/>
        <w:gridCol w:w="682"/>
        <w:gridCol w:w="1115"/>
      </w:tblGrid>
      <w:tr>
        <w:tblPrEx>
          <w:tblCellMar>
            <w:top w:w="0" w:type="dxa"/>
            <w:left w:w="0" w:type="dxa"/>
            <w:bottom w:w="0" w:type="dxa"/>
            <w:right w:w="0" w:type="dxa"/>
          </w:tblCellMar>
        </w:tblPrEx>
        <w:trPr>
          <w:trHeight w:val="677" w:hRule="atLeast"/>
        </w:trPr>
        <w:tc>
          <w:tcPr>
            <w:tcW w:w="10680" w:type="dxa"/>
            <w:gridSpan w:val="11"/>
            <w:tcBorders>
              <w:top w:val="nil"/>
              <w:left w:val="nil"/>
              <w:bottom w:val="nil"/>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Cs w:val="32"/>
              </w:rPr>
            </w:pPr>
            <w:r>
              <w:rPr>
                <w:rFonts w:hint="eastAsia" w:ascii="宋体" w:hAnsi="宋体" w:eastAsia="宋体" w:cs="宋体"/>
                <w:b/>
                <w:color w:val="000000"/>
                <w:kern w:val="0"/>
                <w:szCs w:val="32"/>
                <w:lang w:bidi="ar"/>
              </w:rPr>
              <w:t xml:space="preserve">项目支出绩效自评表 </w:t>
            </w:r>
          </w:p>
        </w:tc>
      </w:tr>
      <w:tr>
        <w:tblPrEx>
          <w:tblCellMar>
            <w:top w:w="0" w:type="dxa"/>
            <w:left w:w="0" w:type="dxa"/>
            <w:bottom w:w="0" w:type="dxa"/>
            <w:right w:w="0" w:type="dxa"/>
          </w:tblCellMar>
        </w:tblPrEx>
        <w:trPr>
          <w:trHeight w:val="353" w:hRule="atLeast"/>
        </w:trPr>
        <w:tc>
          <w:tcPr>
            <w:tcW w:w="10680" w:type="dxa"/>
            <w:gridSpan w:val="11"/>
            <w:tcBorders>
              <w:top w:val="nil"/>
              <w:left w:val="nil"/>
              <w:bottom w:val="single" w:color="000000" w:sz="4" w:space="0"/>
              <w:right w:val="nil"/>
            </w:tcBorders>
            <w:noWrap w:val="0"/>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w:t>
            </w:r>
            <w:r>
              <w:rPr>
                <w:rFonts w:hint="eastAsia" w:ascii="宋体" w:hAnsi="宋体" w:eastAsia="宋体" w:cs="宋体"/>
                <w:color w:val="000000"/>
                <w:kern w:val="0"/>
                <w:sz w:val="22"/>
                <w:szCs w:val="22"/>
                <w:lang w:val="en-US" w:eastAsia="zh-CN" w:bidi="ar"/>
              </w:rPr>
              <w:t>20</w:t>
            </w:r>
            <w:r>
              <w:rPr>
                <w:rFonts w:hint="eastAsia" w:ascii="宋体" w:hAnsi="宋体" w:eastAsia="宋体" w:cs="宋体"/>
                <w:color w:val="000000"/>
                <w:kern w:val="0"/>
                <w:sz w:val="22"/>
                <w:szCs w:val="22"/>
                <w:lang w:bidi="ar"/>
              </w:rPr>
              <w:t>年度）</w:t>
            </w:r>
          </w:p>
        </w:tc>
      </w:tr>
      <w:tr>
        <w:tblPrEx>
          <w:tblCellMar>
            <w:top w:w="0" w:type="dxa"/>
            <w:left w:w="0" w:type="dxa"/>
            <w:bottom w:w="0" w:type="dxa"/>
            <w:right w:w="0" w:type="dxa"/>
          </w:tblCellMar>
        </w:tblPrEx>
        <w:trPr>
          <w:trHeight w:val="625" w:hRule="atLeast"/>
        </w:trPr>
        <w:tc>
          <w:tcPr>
            <w:tcW w:w="17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项目名称</w:t>
            </w:r>
          </w:p>
        </w:tc>
        <w:tc>
          <w:tcPr>
            <w:tcW w:w="8961"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全民科学素质行动计划纲要实施项目</w:t>
            </w:r>
          </w:p>
        </w:tc>
      </w:tr>
      <w:tr>
        <w:tblPrEx>
          <w:tblCellMar>
            <w:top w:w="0" w:type="dxa"/>
            <w:left w:w="0" w:type="dxa"/>
            <w:bottom w:w="0" w:type="dxa"/>
            <w:right w:w="0" w:type="dxa"/>
          </w:tblCellMar>
        </w:tblPrEx>
        <w:trPr>
          <w:trHeight w:val="560" w:hRule="atLeast"/>
        </w:trPr>
        <w:tc>
          <w:tcPr>
            <w:tcW w:w="17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主管部门</w:t>
            </w:r>
          </w:p>
        </w:tc>
        <w:tc>
          <w:tcPr>
            <w:tcW w:w="487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蚌埠市科学技术协会</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实施单位</w:t>
            </w:r>
          </w:p>
        </w:tc>
        <w:tc>
          <w:tcPr>
            <w:tcW w:w="299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科协科普部</w:t>
            </w:r>
          </w:p>
        </w:tc>
      </w:tr>
      <w:tr>
        <w:tblPrEx>
          <w:tblCellMar>
            <w:top w:w="0" w:type="dxa"/>
            <w:left w:w="0" w:type="dxa"/>
            <w:bottom w:w="0" w:type="dxa"/>
            <w:right w:w="0" w:type="dxa"/>
          </w:tblCellMar>
        </w:tblPrEx>
        <w:trPr>
          <w:trHeight w:val="535" w:hRule="atLeast"/>
        </w:trPr>
        <w:tc>
          <w:tcPr>
            <w:tcW w:w="171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项目资金                   （万元）</w:t>
            </w:r>
          </w:p>
        </w:tc>
        <w:tc>
          <w:tcPr>
            <w:tcW w:w="21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5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年初预算数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（A）</w:t>
            </w:r>
          </w:p>
        </w:tc>
        <w:tc>
          <w:tcPr>
            <w:tcW w:w="11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全年预算数（B）</w:t>
            </w:r>
          </w:p>
        </w:tc>
        <w:tc>
          <w:tcPr>
            <w:tcW w:w="16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全年执行数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（C）</w:t>
            </w:r>
          </w:p>
        </w:tc>
        <w:tc>
          <w:tcPr>
            <w:tcW w:w="61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分值</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执行率（C/B)</w:t>
            </w:r>
          </w:p>
        </w:tc>
        <w:tc>
          <w:tcPr>
            <w:tcW w:w="1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得分</w:t>
            </w:r>
          </w:p>
        </w:tc>
      </w:tr>
      <w:tr>
        <w:tblPrEx>
          <w:tblCellMar>
            <w:top w:w="0" w:type="dxa"/>
            <w:left w:w="0" w:type="dxa"/>
            <w:bottom w:w="0" w:type="dxa"/>
            <w:right w:w="0" w:type="dxa"/>
          </w:tblCellMar>
        </w:tblPrEx>
        <w:trPr>
          <w:trHeight w:val="354" w:hRule="atLeast"/>
        </w:trPr>
        <w:tc>
          <w:tcPr>
            <w:tcW w:w="171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1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年度资金总额：</w:t>
            </w:r>
          </w:p>
        </w:tc>
        <w:tc>
          <w:tcPr>
            <w:tcW w:w="1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40</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40</w:t>
            </w:r>
          </w:p>
        </w:tc>
        <w:tc>
          <w:tcPr>
            <w:tcW w:w="16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1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r>
      <w:tr>
        <w:tblPrEx>
          <w:tblCellMar>
            <w:top w:w="0" w:type="dxa"/>
            <w:left w:w="0" w:type="dxa"/>
            <w:bottom w:w="0" w:type="dxa"/>
            <w:right w:w="0" w:type="dxa"/>
          </w:tblCellMar>
        </w:tblPrEx>
        <w:trPr>
          <w:trHeight w:val="354" w:hRule="atLeast"/>
        </w:trPr>
        <w:tc>
          <w:tcPr>
            <w:tcW w:w="171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1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其中：当年财政拨款</w:t>
            </w:r>
          </w:p>
        </w:tc>
        <w:tc>
          <w:tcPr>
            <w:tcW w:w="1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40</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40</w:t>
            </w:r>
          </w:p>
        </w:tc>
        <w:tc>
          <w:tcPr>
            <w:tcW w:w="16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1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54" w:hRule="atLeast"/>
        </w:trPr>
        <w:tc>
          <w:tcPr>
            <w:tcW w:w="171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1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上年结转资金</w:t>
            </w:r>
          </w:p>
        </w:tc>
        <w:tc>
          <w:tcPr>
            <w:tcW w:w="1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0</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0</w:t>
            </w:r>
          </w:p>
        </w:tc>
        <w:tc>
          <w:tcPr>
            <w:tcW w:w="16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c>
          <w:tcPr>
            <w:tcW w:w="1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54" w:hRule="atLeast"/>
        </w:trPr>
        <w:tc>
          <w:tcPr>
            <w:tcW w:w="171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1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其他资金</w:t>
            </w:r>
          </w:p>
        </w:tc>
        <w:tc>
          <w:tcPr>
            <w:tcW w:w="1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0</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0</w:t>
            </w:r>
          </w:p>
        </w:tc>
        <w:tc>
          <w:tcPr>
            <w:tcW w:w="16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c>
          <w:tcPr>
            <w:tcW w:w="1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74" w:hRule="atLeast"/>
        </w:trPr>
        <w:tc>
          <w:tcPr>
            <w:tcW w:w="6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年度总体目标完成情况</w:t>
            </w:r>
          </w:p>
        </w:tc>
        <w:tc>
          <w:tcPr>
            <w:tcW w:w="594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预期目标</w:t>
            </w:r>
          </w:p>
        </w:tc>
        <w:tc>
          <w:tcPr>
            <w:tcW w:w="409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实际完成情况</w:t>
            </w:r>
          </w:p>
        </w:tc>
      </w:tr>
      <w:tr>
        <w:tblPrEx>
          <w:tblCellMar>
            <w:top w:w="0" w:type="dxa"/>
            <w:left w:w="0" w:type="dxa"/>
            <w:bottom w:w="0" w:type="dxa"/>
            <w:right w:w="0" w:type="dxa"/>
          </w:tblCellMar>
        </w:tblPrEx>
        <w:trPr>
          <w:trHeight w:val="1344"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594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做好全民科学素质纲要工作的深入实施，开办“科普大篷车”电视栏目、微信公众号，支持科普中国e站建设；实施“科普惠农兴村计划”项目，推进基层科普阵地建设，开展科普示范社区创建等。</w:t>
            </w:r>
          </w:p>
        </w:tc>
        <w:tc>
          <w:tcPr>
            <w:tcW w:w="409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已完成</w:t>
            </w:r>
          </w:p>
        </w:tc>
      </w:tr>
      <w:tr>
        <w:tblPrEx>
          <w:tblCellMar>
            <w:top w:w="0" w:type="dxa"/>
            <w:left w:w="0" w:type="dxa"/>
            <w:bottom w:w="0" w:type="dxa"/>
            <w:right w:w="0" w:type="dxa"/>
          </w:tblCellMar>
        </w:tblPrEx>
        <w:trPr>
          <w:trHeight w:val="697" w:hRule="atLeast"/>
        </w:trPr>
        <w:tc>
          <w:tcPr>
            <w:tcW w:w="6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度</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绩</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效</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完</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成</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情</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况</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一级指标</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二级指标</w:t>
            </w:r>
          </w:p>
        </w:tc>
        <w:tc>
          <w:tcPr>
            <w:tcW w:w="22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三级指标</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年度指标值</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实际完成值</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分值</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得分</w:t>
            </w:r>
          </w:p>
        </w:tc>
        <w:tc>
          <w:tcPr>
            <w:tcW w:w="1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偏差原因分析</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和改进措施</w:t>
            </w:r>
          </w:p>
        </w:tc>
      </w:tr>
      <w:tr>
        <w:tblPrEx>
          <w:tblCellMar>
            <w:top w:w="0" w:type="dxa"/>
            <w:left w:w="0" w:type="dxa"/>
            <w:bottom w:w="0" w:type="dxa"/>
            <w:right w:w="0" w:type="dxa"/>
          </w:tblCellMar>
        </w:tblPrEx>
        <w:trPr>
          <w:trHeight w:val="1021"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（50分）</w:t>
            </w:r>
          </w:p>
        </w:tc>
        <w:tc>
          <w:tcPr>
            <w:tcW w:w="141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数量指标</w:t>
            </w:r>
          </w:p>
        </w:tc>
        <w:tc>
          <w:tcPr>
            <w:tcW w:w="22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eastAsia="宋体" w:cs="宋体"/>
                <w:i w:val="0"/>
                <w:color w:val="000000"/>
                <w:kern w:val="0"/>
                <w:sz w:val="18"/>
                <w:szCs w:val="18"/>
                <w:u w:val="none"/>
                <w:lang w:val="en-US" w:eastAsia="zh-CN" w:bidi="ar"/>
              </w:rPr>
              <w:t>指标1：开展科普讲座、科普巡展、科普咨询、科普交流等活动</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≧30场次</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32</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697"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41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2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eastAsia="宋体" w:cs="宋体"/>
                <w:i w:val="0"/>
                <w:color w:val="000000"/>
                <w:kern w:val="0"/>
                <w:sz w:val="18"/>
                <w:szCs w:val="18"/>
                <w:u w:val="none"/>
                <w:lang w:val="en-US" w:eastAsia="zh-CN" w:bidi="ar"/>
              </w:rPr>
              <w:t>指标2：开展各级社区、农技协、教育基地示范创建工作</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≧15场次</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18</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697"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41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2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eastAsia="宋体" w:cs="宋体"/>
                <w:i w:val="0"/>
                <w:color w:val="000000"/>
                <w:kern w:val="0"/>
                <w:sz w:val="18"/>
                <w:szCs w:val="18"/>
                <w:u w:val="none"/>
                <w:lang w:val="en-US" w:eastAsia="zh-CN" w:bidi="ar"/>
              </w:rPr>
              <w:t>指标3：开展科普中国e站建设、科普活动室建设等</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≧12处</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1343"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41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2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default"/>
                <w:sz w:val="18"/>
                <w:szCs w:val="18"/>
              </w:rPr>
            </w:pPr>
            <w:r>
              <w:rPr>
                <w:rFonts w:hint="eastAsia" w:ascii="宋体" w:hAnsi="宋体" w:eastAsia="宋体" w:cs="宋体"/>
                <w:i w:val="0"/>
                <w:color w:val="000000"/>
                <w:kern w:val="0"/>
                <w:sz w:val="18"/>
                <w:szCs w:val="18"/>
                <w:u w:val="none"/>
                <w:lang w:val="en-US" w:eastAsia="zh-CN" w:bidi="ar"/>
              </w:rPr>
              <w:t>指标4：开办科普电视栏目、办好“蚌埠科协”微信、推进“科普中国”落地应用</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提高收视率、提高关注度</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完成</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w:t>
            </w:r>
          </w:p>
        </w:tc>
        <w:tc>
          <w:tcPr>
            <w:tcW w:w="1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“科普中国”落地应用还不够，还没有被更多的群众认可，下一步加强宣传推广力度，再提高5000用户的关注度。</w:t>
            </w:r>
          </w:p>
        </w:tc>
      </w:tr>
      <w:tr>
        <w:tblPrEx>
          <w:tblCellMar>
            <w:top w:w="0" w:type="dxa"/>
            <w:left w:w="0" w:type="dxa"/>
            <w:bottom w:w="0" w:type="dxa"/>
            <w:right w:w="0" w:type="dxa"/>
          </w:tblCellMar>
        </w:tblPrEx>
        <w:trPr>
          <w:trHeight w:val="391"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质量指标</w:t>
            </w:r>
          </w:p>
        </w:tc>
        <w:tc>
          <w:tcPr>
            <w:tcW w:w="22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项目执行率</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100%</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100%</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391"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时效指标</w:t>
            </w:r>
          </w:p>
        </w:tc>
        <w:tc>
          <w:tcPr>
            <w:tcW w:w="22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年度计划完成情况</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按计划完成</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按计划完成</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843"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（30分）</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社会效益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tc>
        <w:tc>
          <w:tcPr>
            <w:tcW w:w="22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开展科普宣传活动，营造学科学、懂科学、用科学良好氛围</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不断增强</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不断增强</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10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10</w:t>
            </w:r>
          </w:p>
        </w:tc>
        <w:tc>
          <w:tcPr>
            <w:tcW w:w="1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763"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可持续影响指标</w:t>
            </w:r>
          </w:p>
        </w:tc>
        <w:tc>
          <w:tcPr>
            <w:tcW w:w="22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不断提升公民科学素质</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不断提高</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不断提高</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658"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满意度指标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（10分）</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服务对象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满意度指标</w:t>
            </w:r>
          </w:p>
        </w:tc>
        <w:tc>
          <w:tcPr>
            <w:tcW w:w="22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公众满意度</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≧98</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≧98</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552" w:hRule="atLeast"/>
        </w:trPr>
        <w:tc>
          <w:tcPr>
            <w:tcW w:w="768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b/>
                <w:i w:val="0"/>
                <w:color w:val="000000"/>
                <w:kern w:val="0"/>
                <w:sz w:val="21"/>
                <w:szCs w:val="21"/>
                <w:u w:val="none"/>
                <w:lang w:val="en-US" w:eastAsia="zh-CN" w:bidi="ar"/>
              </w:rPr>
              <w:t>总分</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b/>
                <w:i w:val="0"/>
                <w:color w:val="000000"/>
                <w:kern w:val="0"/>
                <w:sz w:val="21"/>
                <w:szCs w:val="21"/>
                <w:u w:val="none"/>
                <w:lang w:val="en-US" w:eastAsia="zh-CN" w:bidi="ar"/>
              </w:rPr>
              <w:t>100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b/>
                <w:i w:val="0"/>
                <w:color w:val="000000"/>
                <w:kern w:val="0"/>
                <w:sz w:val="21"/>
                <w:szCs w:val="21"/>
                <w:u w:val="none"/>
                <w:lang w:val="en-US" w:eastAsia="zh-CN" w:bidi="ar"/>
              </w:rPr>
              <w:t>99</w:t>
            </w:r>
          </w:p>
        </w:tc>
        <w:tc>
          <w:tcPr>
            <w:tcW w:w="1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r>
    </w:tbl>
    <w:p>
      <w:pPr>
        <w:rPr>
          <w:rFonts w:hint="eastAsia" w:ascii="仿宋_GB2312" w:hAnsi="仿宋_GB2312" w:cs="仿宋_GB2312"/>
          <w:b/>
          <w:bCs/>
          <w:szCs w:val="32"/>
        </w:rPr>
      </w:pPr>
    </w:p>
    <w:p>
      <w:pPr>
        <w:rPr>
          <w:rFonts w:ascii="仿宋_GB2312" w:hAnsi="仿宋_GB2312" w:cs="仿宋_GB2312"/>
          <w:b/>
          <w:bCs/>
          <w:szCs w:val="32"/>
        </w:rPr>
      </w:pPr>
      <w:r>
        <w:rPr>
          <w:rFonts w:hint="eastAsia" w:ascii="仿宋_GB2312" w:hAnsi="仿宋_GB2312" w:cs="仿宋_GB2312"/>
          <w:b/>
          <w:bCs/>
          <w:szCs w:val="32"/>
        </w:rPr>
        <w:t>附件</w:t>
      </w:r>
      <w:r>
        <w:rPr>
          <w:rFonts w:hint="eastAsia" w:ascii="仿宋_GB2312" w:hAnsi="仿宋_GB2312" w:cs="仿宋_GB2312"/>
          <w:b/>
          <w:bCs/>
          <w:szCs w:val="32"/>
          <w:lang w:val="en-US" w:eastAsia="zh-CN"/>
        </w:rPr>
        <w:t>2</w:t>
      </w:r>
      <w:r>
        <w:rPr>
          <w:rFonts w:hint="eastAsia" w:ascii="仿宋_GB2312" w:hAnsi="仿宋_GB2312" w:cs="仿宋_GB2312"/>
          <w:b/>
          <w:bCs/>
          <w:szCs w:val="32"/>
        </w:rPr>
        <w:t>：</w:t>
      </w:r>
    </w:p>
    <w:tbl>
      <w:tblPr>
        <w:tblStyle w:val="3"/>
        <w:tblW w:w="10620" w:type="dxa"/>
        <w:tblInd w:w="0" w:type="dxa"/>
        <w:tblLayout w:type="fixed"/>
        <w:tblCellMar>
          <w:top w:w="0" w:type="dxa"/>
          <w:left w:w="0" w:type="dxa"/>
          <w:bottom w:w="0" w:type="dxa"/>
          <w:right w:w="0" w:type="dxa"/>
        </w:tblCellMar>
      </w:tblPr>
      <w:tblGrid>
        <w:gridCol w:w="649"/>
        <w:gridCol w:w="1140"/>
        <w:gridCol w:w="1305"/>
        <w:gridCol w:w="840"/>
        <w:gridCol w:w="1745"/>
        <w:gridCol w:w="1429"/>
        <w:gridCol w:w="980"/>
        <w:gridCol w:w="588"/>
        <w:gridCol w:w="588"/>
        <w:gridCol w:w="663"/>
        <w:gridCol w:w="693"/>
      </w:tblGrid>
      <w:tr>
        <w:tblPrEx>
          <w:tblCellMar>
            <w:top w:w="0" w:type="dxa"/>
            <w:left w:w="0" w:type="dxa"/>
            <w:bottom w:w="0" w:type="dxa"/>
            <w:right w:w="0" w:type="dxa"/>
          </w:tblCellMar>
        </w:tblPrEx>
        <w:trPr>
          <w:trHeight w:val="761" w:hRule="atLeast"/>
        </w:trPr>
        <w:tc>
          <w:tcPr>
            <w:tcW w:w="10620" w:type="dxa"/>
            <w:gridSpan w:val="11"/>
            <w:tcBorders>
              <w:top w:val="nil"/>
              <w:left w:val="nil"/>
              <w:bottom w:val="nil"/>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Cs w:val="32"/>
              </w:rPr>
            </w:pPr>
            <w:r>
              <w:rPr>
                <w:rFonts w:hint="eastAsia" w:ascii="宋体" w:hAnsi="宋体" w:eastAsia="宋体" w:cs="宋体"/>
                <w:b/>
                <w:color w:val="000000"/>
                <w:kern w:val="0"/>
                <w:szCs w:val="32"/>
                <w:lang w:bidi="ar"/>
              </w:rPr>
              <w:t xml:space="preserve">项目支出绩效自评表 </w:t>
            </w:r>
          </w:p>
        </w:tc>
      </w:tr>
      <w:tr>
        <w:tblPrEx>
          <w:tblCellMar>
            <w:top w:w="0" w:type="dxa"/>
            <w:left w:w="0" w:type="dxa"/>
            <w:bottom w:w="0" w:type="dxa"/>
            <w:right w:w="0" w:type="dxa"/>
          </w:tblCellMar>
        </w:tblPrEx>
        <w:trPr>
          <w:trHeight w:val="389" w:hRule="atLeast"/>
        </w:trPr>
        <w:tc>
          <w:tcPr>
            <w:tcW w:w="10620" w:type="dxa"/>
            <w:gridSpan w:val="11"/>
            <w:tcBorders>
              <w:top w:val="nil"/>
              <w:left w:val="nil"/>
              <w:bottom w:val="single" w:color="000000" w:sz="4" w:space="0"/>
              <w:right w:val="nil"/>
            </w:tcBorders>
            <w:noWrap w:val="0"/>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w:t>
            </w:r>
            <w:r>
              <w:rPr>
                <w:rFonts w:hint="eastAsia" w:ascii="宋体" w:hAnsi="宋体" w:eastAsia="宋体" w:cs="宋体"/>
                <w:color w:val="000000"/>
                <w:kern w:val="0"/>
                <w:sz w:val="22"/>
                <w:szCs w:val="22"/>
                <w:lang w:val="en-US" w:eastAsia="zh-CN" w:bidi="ar"/>
              </w:rPr>
              <w:t>20</w:t>
            </w:r>
            <w:r>
              <w:rPr>
                <w:rFonts w:hint="eastAsia" w:ascii="宋体" w:hAnsi="宋体" w:eastAsia="宋体" w:cs="宋体"/>
                <w:color w:val="000000"/>
                <w:kern w:val="0"/>
                <w:sz w:val="22"/>
                <w:szCs w:val="22"/>
                <w:lang w:bidi="ar"/>
              </w:rPr>
              <w:t>年度）</w:t>
            </w:r>
          </w:p>
        </w:tc>
      </w:tr>
      <w:tr>
        <w:tblPrEx>
          <w:tblCellMar>
            <w:top w:w="0" w:type="dxa"/>
            <w:left w:w="0" w:type="dxa"/>
            <w:bottom w:w="0" w:type="dxa"/>
            <w:right w:w="0" w:type="dxa"/>
          </w:tblCellMar>
        </w:tblPrEx>
        <w:trPr>
          <w:trHeight w:val="592" w:hRule="atLeast"/>
        </w:trPr>
        <w:tc>
          <w:tcPr>
            <w:tcW w:w="1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8831"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科普宣传项目</w:t>
            </w:r>
          </w:p>
        </w:tc>
      </w:tr>
      <w:tr>
        <w:tblPrEx>
          <w:tblCellMar>
            <w:top w:w="0" w:type="dxa"/>
            <w:left w:w="0" w:type="dxa"/>
            <w:bottom w:w="0" w:type="dxa"/>
            <w:right w:w="0" w:type="dxa"/>
          </w:tblCellMar>
        </w:tblPrEx>
        <w:trPr>
          <w:trHeight w:val="543" w:hRule="atLeast"/>
        </w:trPr>
        <w:tc>
          <w:tcPr>
            <w:tcW w:w="1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主管部门</w:t>
            </w:r>
          </w:p>
        </w:tc>
        <w:tc>
          <w:tcPr>
            <w:tcW w:w="531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蚌埠市科学技术协会</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实施单位</w:t>
            </w:r>
          </w:p>
        </w:tc>
        <w:tc>
          <w:tcPr>
            <w:tcW w:w="253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科协科普部</w:t>
            </w:r>
          </w:p>
        </w:tc>
      </w:tr>
      <w:tr>
        <w:tblPrEx>
          <w:tblCellMar>
            <w:top w:w="0" w:type="dxa"/>
            <w:left w:w="0" w:type="dxa"/>
            <w:bottom w:w="0" w:type="dxa"/>
            <w:right w:w="0" w:type="dxa"/>
          </w:tblCellMar>
        </w:tblPrEx>
        <w:trPr>
          <w:trHeight w:val="613" w:hRule="atLeast"/>
        </w:trPr>
        <w:tc>
          <w:tcPr>
            <w:tcW w:w="178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项目资金</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（万元）</w:t>
            </w:r>
          </w:p>
        </w:tc>
        <w:tc>
          <w:tcPr>
            <w:tcW w:w="21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74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年初预算数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（A）</w:t>
            </w:r>
          </w:p>
        </w:tc>
        <w:tc>
          <w:tcPr>
            <w:tcW w:w="142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全年预算数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全年执行数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（C）</w:t>
            </w:r>
          </w:p>
        </w:tc>
        <w:tc>
          <w:tcPr>
            <w:tcW w:w="58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执行率（C/</w:t>
            </w:r>
            <w:r>
              <w:rPr>
                <w:rStyle w:val="5"/>
                <w:rFonts w:hint="default"/>
                <w:sz w:val="21"/>
                <w:szCs w:val="21"/>
                <w:lang w:bidi="ar"/>
              </w:rPr>
              <w:t>B)</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得分</w:t>
            </w:r>
          </w:p>
        </w:tc>
      </w:tr>
      <w:tr>
        <w:tblPrEx>
          <w:tblCellMar>
            <w:top w:w="0" w:type="dxa"/>
            <w:left w:w="0" w:type="dxa"/>
            <w:bottom w:w="0" w:type="dxa"/>
            <w:right w:w="0" w:type="dxa"/>
          </w:tblCellMar>
        </w:tblPrEx>
        <w:trPr>
          <w:trHeight w:val="328" w:hRule="atLeast"/>
        </w:trPr>
        <w:tc>
          <w:tcPr>
            <w:tcW w:w="178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1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年度资金总额：</w:t>
            </w:r>
          </w:p>
        </w:tc>
        <w:tc>
          <w:tcPr>
            <w:tcW w:w="1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40</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40</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40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r>
      <w:tr>
        <w:tblPrEx>
          <w:tblCellMar>
            <w:top w:w="0" w:type="dxa"/>
            <w:left w:w="0" w:type="dxa"/>
            <w:bottom w:w="0" w:type="dxa"/>
            <w:right w:w="0" w:type="dxa"/>
          </w:tblCellMar>
        </w:tblPrEx>
        <w:trPr>
          <w:trHeight w:val="328" w:hRule="atLeast"/>
        </w:trPr>
        <w:tc>
          <w:tcPr>
            <w:tcW w:w="178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1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其中：当年财政拨款</w:t>
            </w:r>
          </w:p>
        </w:tc>
        <w:tc>
          <w:tcPr>
            <w:tcW w:w="1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40</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40</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40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28" w:hRule="atLeast"/>
        </w:trPr>
        <w:tc>
          <w:tcPr>
            <w:tcW w:w="178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1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上年结转资金</w:t>
            </w:r>
          </w:p>
        </w:tc>
        <w:tc>
          <w:tcPr>
            <w:tcW w:w="1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trHeight w:val="328" w:hRule="atLeast"/>
        </w:trPr>
        <w:tc>
          <w:tcPr>
            <w:tcW w:w="178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1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其他资金</w:t>
            </w:r>
          </w:p>
        </w:tc>
        <w:tc>
          <w:tcPr>
            <w:tcW w:w="1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trHeight w:val="401" w:hRule="atLeast"/>
        </w:trPr>
        <w:tc>
          <w:tcPr>
            <w:tcW w:w="6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年度总体目标完成情况</w:t>
            </w:r>
          </w:p>
        </w:tc>
        <w:tc>
          <w:tcPr>
            <w:tcW w:w="6459"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预期目标</w:t>
            </w:r>
          </w:p>
        </w:tc>
        <w:tc>
          <w:tcPr>
            <w:tcW w:w="35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实际完成情况</w:t>
            </w:r>
          </w:p>
        </w:tc>
      </w:tr>
      <w:tr>
        <w:tblPrEx>
          <w:tblCellMar>
            <w:top w:w="0" w:type="dxa"/>
            <w:left w:w="0" w:type="dxa"/>
            <w:bottom w:w="0" w:type="dxa"/>
            <w:right w:w="0" w:type="dxa"/>
          </w:tblCellMar>
        </w:tblPrEx>
        <w:trPr>
          <w:trHeight w:val="1517" w:hRule="atLeast"/>
        </w:trPr>
        <w:tc>
          <w:tcPr>
            <w:tcW w:w="6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6459"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总体目标：进一步推进《全民科学素质计划纲要》实施工作，提高全民科学素质，积极开展各类科普宣传活动、“全国科普日”活动、科普讲座活动，开展防灾减灾、食品安全、生态环保和土壤污染防治等科普宣传，实施科普惠民为民行动。</w:t>
            </w:r>
          </w:p>
        </w:tc>
        <w:tc>
          <w:tcPr>
            <w:tcW w:w="35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已完成</w:t>
            </w:r>
          </w:p>
        </w:tc>
      </w:tr>
      <w:tr>
        <w:tblPrEx>
          <w:tblCellMar>
            <w:top w:w="0" w:type="dxa"/>
            <w:left w:w="0" w:type="dxa"/>
            <w:bottom w:w="0" w:type="dxa"/>
            <w:right w:w="0" w:type="dxa"/>
          </w:tblCellMar>
        </w:tblPrEx>
        <w:trPr>
          <w:trHeight w:val="773" w:hRule="atLeast"/>
        </w:trPr>
        <w:tc>
          <w:tcPr>
            <w:tcW w:w="6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16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度</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绩</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效</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完</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成</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情</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况</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一级指标</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二级指标</w:t>
            </w:r>
          </w:p>
        </w:tc>
        <w:tc>
          <w:tcPr>
            <w:tcW w:w="25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三级指标</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年度指标值</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实际</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完成值</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得分</w:t>
            </w:r>
          </w:p>
        </w:tc>
        <w:tc>
          <w:tcPr>
            <w:tcW w:w="1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偏差原因分析</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和改进措施</w:t>
            </w:r>
          </w:p>
        </w:tc>
      </w:tr>
      <w:tr>
        <w:tblPrEx>
          <w:tblCellMar>
            <w:top w:w="0" w:type="dxa"/>
            <w:left w:w="0" w:type="dxa"/>
            <w:bottom w:w="0" w:type="dxa"/>
            <w:right w:w="0" w:type="dxa"/>
          </w:tblCellMar>
        </w:tblPrEx>
        <w:trPr>
          <w:trHeight w:val="773" w:hRule="atLeast"/>
        </w:trPr>
        <w:tc>
          <w:tcPr>
            <w:tcW w:w="6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产</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（50分）</w:t>
            </w:r>
          </w:p>
        </w:tc>
        <w:tc>
          <w:tcPr>
            <w:tcW w:w="130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数量指标</w:t>
            </w:r>
          </w:p>
        </w:tc>
        <w:tc>
          <w:tcPr>
            <w:tcW w:w="25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指标1：开展科普讲座、科普巡展、科普咨询、科普交流等活动</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≧20场次</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28场次</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773" w:hRule="atLeast"/>
        </w:trPr>
        <w:tc>
          <w:tcPr>
            <w:tcW w:w="6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0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5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指标2：举办送科技下乡、科技活动周、全国科普日、科普大篷车巡展</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w:t>
            </w:r>
            <w:r>
              <w:rPr>
                <w:rStyle w:val="6"/>
                <w:sz w:val="18"/>
                <w:szCs w:val="18"/>
                <w:lang w:val="en-US" w:eastAsia="zh-CN" w:bidi="ar"/>
              </w:rPr>
              <w:t>场次</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30场次</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1145" w:hRule="atLeast"/>
        </w:trPr>
        <w:tc>
          <w:tcPr>
            <w:tcW w:w="6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0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5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指标3：开展防灾减灾、食品安全、生态文明、土壤污染防治、生物技术等五项专题科普宣传</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w:t>
            </w:r>
            <w:r>
              <w:rPr>
                <w:rStyle w:val="6"/>
                <w:sz w:val="18"/>
                <w:szCs w:val="18"/>
                <w:lang w:val="en-US" w:eastAsia="zh-CN" w:bidi="ar"/>
              </w:rPr>
              <w:t>场次</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20场次</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401" w:hRule="atLeast"/>
        </w:trPr>
        <w:tc>
          <w:tcPr>
            <w:tcW w:w="6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0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5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指标4：实施科普惠民为民行动</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≧60</w:t>
            </w:r>
            <w:r>
              <w:rPr>
                <w:rStyle w:val="6"/>
                <w:sz w:val="18"/>
                <w:szCs w:val="18"/>
                <w:lang w:val="en-US" w:eastAsia="zh-CN" w:bidi="ar"/>
              </w:rPr>
              <w:t>场次</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65场次</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401" w:hRule="atLeast"/>
        </w:trPr>
        <w:tc>
          <w:tcPr>
            <w:tcW w:w="6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质量指标</w:t>
            </w:r>
          </w:p>
        </w:tc>
        <w:tc>
          <w:tcPr>
            <w:tcW w:w="25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项目执行率</w:t>
            </w:r>
            <w:r>
              <w:rPr>
                <w:rFonts w:hint="eastAsia" w:ascii="宋体" w:hAnsi="宋体" w:eastAsia="宋体" w:cs="宋体"/>
                <w:color w:val="000000"/>
                <w:sz w:val="18"/>
                <w:szCs w:val="18"/>
              </w:rPr>
              <w:tab/>
            </w:r>
            <w:r>
              <w:rPr>
                <w:rFonts w:hint="eastAsia" w:ascii="宋体" w:hAnsi="宋体" w:eastAsia="宋体" w:cs="宋体"/>
                <w:color w:val="000000"/>
                <w:sz w:val="18"/>
                <w:szCs w:val="18"/>
              </w:rPr>
              <w:tab/>
            </w:r>
            <w:r>
              <w:rPr>
                <w:rFonts w:hint="eastAsia" w:ascii="宋体" w:hAnsi="宋体" w:eastAsia="宋体" w:cs="宋体"/>
                <w:color w:val="000000"/>
                <w:sz w:val="18"/>
                <w:szCs w:val="18"/>
              </w:rPr>
              <w:tab/>
            </w:r>
            <w:r>
              <w:rPr>
                <w:rFonts w:hint="eastAsia" w:ascii="宋体" w:hAnsi="宋体" w:eastAsia="宋体" w:cs="宋体"/>
                <w:color w:val="000000"/>
                <w:sz w:val="18"/>
                <w:szCs w:val="18"/>
              </w:rPr>
              <w:tab/>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1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401" w:hRule="atLeast"/>
        </w:trPr>
        <w:tc>
          <w:tcPr>
            <w:tcW w:w="6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时效指标</w:t>
            </w:r>
          </w:p>
        </w:tc>
        <w:tc>
          <w:tcPr>
            <w:tcW w:w="25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年度计划完成情况</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按计划完成</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按计划完成</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w:t>
            </w:r>
          </w:p>
        </w:tc>
        <w:tc>
          <w:tcPr>
            <w:tcW w:w="1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773" w:hRule="atLeast"/>
        </w:trPr>
        <w:tc>
          <w:tcPr>
            <w:tcW w:w="6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社会效益</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指标</w:t>
            </w:r>
          </w:p>
        </w:tc>
        <w:tc>
          <w:tcPr>
            <w:tcW w:w="25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开展科普宣传活动，营造学科学、懂科学、用科学良好氛围</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不断增强</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不断增强</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w:t>
            </w:r>
          </w:p>
        </w:tc>
        <w:tc>
          <w:tcPr>
            <w:tcW w:w="1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773" w:hRule="atLeast"/>
        </w:trPr>
        <w:tc>
          <w:tcPr>
            <w:tcW w:w="6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可持续影响指标</w:t>
            </w:r>
          </w:p>
        </w:tc>
        <w:tc>
          <w:tcPr>
            <w:tcW w:w="25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不断提升公民科学素质</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不断提高</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不断提高</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773" w:hRule="atLeast"/>
        </w:trPr>
        <w:tc>
          <w:tcPr>
            <w:tcW w:w="6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满意度指标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（10分）</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服务对象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满意度指标</w:t>
            </w:r>
          </w:p>
        </w:tc>
        <w:tc>
          <w:tcPr>
            <w:tcW w:w="25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公众满意度</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≧98</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≧98</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w:t>
            </w:r>
          </w:p>
        </w:tc>
        <w:tc>
          <w:tcPr>
            <w:tcW w:w="1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526" w:hRule="atLeast"/>
        </w:trPr>
        <w:tc>
          <w:tcPr>
            <w:tcW w:w="8088" w:type="dxa"/>
            <w:gridSpan w:val="7"/>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总分</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100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color w:val="000000"/>
                <w:sz w:val="21"/>
                <w:szCs w:val="21"/>
                <w:lang w:val="en-US" w:eastAsia="zh-CN"/>
              </w:rPr>
            </w:pPr>
            <w:r>
              <w:rPr>
                <w:rFonts w:hint="eastAsia" w:ascii="宋体" w:hAnsi="宋体" w:eastAsia="宋体" w:cs="宋体"/>
                <w:b/>
                <w:color w:val="000000"/>
                <w:kern w:val="0"/>
                <w:sz w:val="21"/>
                <w:szCs w:val="21"/>
                <w:lang w:val="en-US" w:eastAsia="zh-CN" w:bidi="ar"/>
              </w:rPr>
              <w:t>99</w:t>
            </w:r>
          </w:p>
        </w:tc>
        <w:tc>
          <w:tcPr>
            <w:tcW w:w="1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仿宋_GB2312" w:cs="仿宋_GB2312"/>
          <w:b/>
          <w:bCs/>
          <w:szCs w:val="32"/>
        </w:rPr>
      </w:pPr>
      <w:r>
        <w:rPr>
          <w:rFonts w:hint="eastAsia" w:ascii="仿宋_GB2312" w:hAnsi="仿宋_GB2312" w:cs="仿宋_GB2312"/>
          <w:b/>
          <w:bCs/>
          <w:szCs w:val="32"/>
        </w:rPr>
        <w:t>附件</w:t>
      </w:r>
      <w:r>
        <w:rPr>
          <w:rFonts w:hint="eastAsia" w:ascii="仿宋_GB2312" w:hAnsi="仿宋_GB2312" w:cs="仿宋_GB2312"/>
          <w:b/>
          <w:bCs/>
          <w:szCs w:val="32"/>
          <w:lang w:val="en-US" w:eastAsia="zh-CN"/>
        </w:rPr>
        <w:t>3</w:t>
      </w:r>
      <w:r>
        <w:rPr>
          <w:rFonts w:hint="eastAsia" w:ascii="仿宋_GB2312" w:hAnsi="仿宋_GB2312" w:cs="仿宋_GB2312"/>
          <w:b/>
          <w:bCs/>
          <w:szCs w:val="32"/>
        </w:rPr>
        <w:t>：</w:t>
      </w:r>
    </w:p>
    <w:tbl>
      <w:tblPr>
        <w:tblStyle w:val="3"/>
        <w:tblW w:w="10698" w:type="dxa"/>
        <w:tblInd w:w="0" w:type="dxa"/>
        <w:tblLayout w:type="fixed"/>
        <w:tblCellMar>
          <w:top w:w="0" w:type="dxa"/>
          <w:left w:w="0" w:type="dxa"/>
          <w:bottom w:w="0" w:type="dxa"/>
          <w:right w:w="0" w:type="dxa"/>
        </w:tblCellMar>
      </w:tblPr>
      <w:tblGrid>
        <w:gridCol w:w="509"/>
        <w:gridCol w:w="1137"/>
        <w:gridCol w:w="1107"/>
        <w:gridCol w:w="848"/>
        <w:gridCol w:w="1257"/>
        <w:gridCol w:w="1352"/>
        <w:gridCol w:w="1187"/>
        <w:gridCol w:w="766"/>
        <w:gridCol w:w="1000"/>
        <w:gridCol w:w="197"/>
        <w:gridCol w:w="1250"/>
        <w:gridCol w:w="88"/>
      </w:tblGrid>
      <w:tr>
        <w:tblPrEx>
          <w:tblCellMar>
            <w:top w:w="0" w:type="dxa"/>
            <w:left w:w="0" w:type="dxa"/>
            <w:bottom w:w="0" w:type="dxa"/>
            <w:right w:w="0" w:type="dxa"/>
          </w:tblCellMar>
        </w:tblPrEx>
        <w:trPr>
          <w:gridAfter w:val="1"/>
          <w:wAfter w:w="88" w:type="dxa"/>
          <w:trHeight w:val="704" w:hRule="atLeast"/>
        </w:trPr>
        <w:tc>
          <w:tcPr>
            <w:tcW w:w="10610" w:type="dxa"/>
            <w:gridSpan w:val="11"/>
            <w:tcBorders>
              <w:top w:val="nil"/>
              <w:left w:val="nil"/>
              <w:bottom w:val="nil"/>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Cs w:val="32"/>
              </w:rPr>
            </w:pPr>
            <w:r>
              <w:rPr>
                <w:rFonts w:hint="eastAsia" w:ascii="宋体" w:hAnsi="宋体" w:eastAsia="宋体" w:cs="宋体"/>
                <w:b/>
                <w:color w:val="000000"/>
                <w:kern w:val="0"/>
                <w:szCs w:val="32"/>
                <w:lang w:bidi="ar"/>
              </w:rPr>
              <w:t xml:space="preserve">项目支出绩效自评表 </w:t>
            </w:r>
          </w:p>
        </w:tc>
      </w:tr>
      <w:tr>
        <w:tblPrEx>
          <w:tblCellMar>
            <w:top w:w="0" w:type="dxa"/>
            <w:left w:w="0" w:type="dxa"/>
            <w:bottom w:w="0" w:type="dxa"/>
            <w:right w:w="0" w:type="dxa"/>
          </w:tblCellMar>
        </w:tblPrEx>
        <w:trPr>
          <w:gridAfter w:val="1"/>
          <w:wAfter w:w="88" w:type="dxa"/>
          <w:trHeight w:val="394" w:hRule="atLeast"/>
        </w:trPr>
        <w:tc>
          <w:tcPr>
            <w:tcW w:w="10610" w:type="dxa"/>
            <w:gridSpan w:val="11"/>
            <w:tcBorders>
              <w:top w:val="nil"/>
              <w:left w:val="nil"/>
              <w:bottom w:val="single" w:color="000000" w:sz="4" w:space="0"/>
              <w:right w:val="nil"/>
            </w:tcBorders>
            <w:noWrap w:val="0"/>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w:t>
            </w:r>
            <w:r>
              <w:rPr>
                <w:rFonts w:hint="eastAsia" w:ascii="宋体" w:hAnsi="宋体" w:eastAsia="宋体" w:cs="宋体"/>
                <w:color w:val="000000"/>
                <w:kern w:val="0"/>
                <w:sz w:val="22"/>
                <w:szCs w:val="22"/>
                <w:lang w:val="en-US" w:eastAsia="zh-CN" w:bidi="ar"/>
              </w:rPr>
              <w:t>20</w:t>
            </w:r>
            <w:r>
              <w:rPr>
                <w:rFonts w:hint="eastAsia" w:ascii="宋体" w:hAnsi="宋体" w:eastAsia="宋体" w:cs="宋体"/>
                <w:color w:val="000000"/>
                <w:kern w:val="0"/>
                <w:sz w:val="22"/>
                <w:szCs w:val="22"/>
                <w:lang w:bidi="ar"/>
              </w:rPr>
              <w:t>年度）</w:t>
            </w:r>
          </w:p>
        </w:tc>
      </w:tr>
      <w:tr>
        <w:tblPrEx>
          <w:tblCellMar>
            <w:top w:w="0" w:type="dxa"/>
            <w:left w:w="0" w:type="dxa"/>
            <w:bottom w:w="0" w:type="dxa"/>
            <w:right w:w="0" w:type="dxa"/>
          </w:tblCellMar>
        </w:tblPrEx>
        <w:trPr>
          <w:gridAfter w:val="1"/>
          <w:wAfter w:w="88" w:type="dxa"/>
          <w:trHeight w:val="453" w:hRule="atLeast"/>
        </w:trPr>
        <w:tc>
          <w:tcPr>
            <w:tcW w:w="16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8964"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反邪教科普宣传项目</w:t>
            </w:r>
          </w:p>
        </w:tc>
      </w:tr>
      <w:tr>
        <w:tblPrEx>
          <w:tblCellMar>
            <w:top w:w="0" w:type="dxa"/>
            <w:left w:w="0" w:type="dxa"/>
            <w:bottom w:w="0" w:type="dxa"/>
            <w:right w:w="0" w:type="dxa"/>
          </w:tblCellMar>
        </w:tblPrEx>
        <w:trPr>
          <w:gridAfter w:val="1"/>
          <w:wAfter w:w="88" w:type="dxa"/>
          <w:trHeight w:val="453" w:hRule="atLeast"/>
        </w:trPr>
        <w:tc>
          <w:tcPr>
            <w:tcW w:w="16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主管部门</w:t>
            </w:r>
          </w:p>
        </w:tc>
        <w:tc>
          <w:tcPr>
            <w:tcW w:w="45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蚌埠市科学技术协会</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实施单位</w:t>
            </w:r>
          </w:p>
        </w:tc>
        <w:tc>
          <w:tcPr>
            <w:tcW w:w="321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科协科普部</w:t>
            </w:r>
          </w:p>
        </w:tc>
      </w:tr>
      <w:tr>
        <w:tblPrEx>
          <w:tblCellMar>
            <w:top w:w="0" w:type="dxa"/>
            <w:left w:w="0" w:type="dxa"/>
            <w:bottom w:w="0" w:type="dxa"/>
            <w:right w:w="0" w:type="dxa"/>
          </w:tblCellMar>
        </w:tblPrEx>
        <w:trPr>
          <w:gridAfter w:val="1"/>
          <w:wAfter w:w="88" w:type="dxa"/>
          <w:trHeight w:val="675" w:hRule="atLeast"/>
        </w:trPr>
        <w:tc>
          <w:tcPr>
            <w:tcW w:w="1646"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项目资金</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（万元）</w:t>
            </w:r>
          </w:p>
        </w:tc>
        <w:tc>
          <w:tcPr>
            <w:tcW w:w="19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257"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年初预算数</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（A）</w:t>
            </w:r>
          </w:p>
        </w:tc>
        <w:tc>
          <w:tcPr>
            <w:tcW w:w="135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全年预算数</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全年执行数</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（C）</w:t>
            </w:r>
          </w:p>
        </w:tc>
        <w:tc>
          <w:tcPr>
            <w:tcW w:w="76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执行率（C/</w:t>
            </w:r>
            <w:r>
              <w:rPr>
                <w:rStyle w:val="5"/>
                <w:rFonts w:hint="default"/>
                <w:sz w:val="21"/>
                <w:szCs w:val="21"/>
                <w:lang w:bidi="ar"/>
              </w:rPr>
              <w:t>B)</w:t>
            </w:r>
          </w:p>
        </w:tc>
        <w:tc>
          <w:tcPr>
            <w:tcW w:w="14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得分</w:t>
            </w:r>
          </w:p>
        </w:tc>
      </w:tr>
      <w:tr>
        <w:tblPrEx>
          <w:tblCellMar>
            <w:top w:w="0" w:type="dxa"/>
            <w:left w:w="0" w:type="dxa"/>
            <w:bottom w:w="0" w:type="dxa"/>
            <w:right w:w="0" w:type="dxa"/>
          </w:tblCellMar>
        </w:tblPrEx>
        <w:trPr>
          <w:gridAfter w:val="1"/>
          <w:wAfter w:w="88" w:type="dxa"/>
          <w:trHeight w:val="364" w:hRule="atLeast"/>
        </w:trPr>
        <w:tc>
          <w:tcPr>
            <w:tcW w:w="164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9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年度资金总额：</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14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r>
      <w:tr>
        <w:tblPrEx>
          <w:tblCellMar>
            <w:top w:w="0" w:type="dxa"/>
            <w:left w:w="0" w:type="dxa"/>
            <w:bottom w:w="0" w:type="dxa"/>
            <w:right w:w="0" w:type="dxa"/>
          </w:tblCellMar>
        </w:tblPrEx>
        <w:trPr>
          <w:gridAfter w:val="1"/>
          <w:wAfter w:w="88" w:type="dxa"/>
          <w:trHeight w:val="364" w:hRule="atLeast"/>
        </w:trPr>
        <w:tc>
          <w:tcPr>
            <w:tcW w:w="164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9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其中：当年财政拨款</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14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gridAfter w:val="1"/>
          <w:wAfter w:w="88" w:type="dxa"/>
          <w:trHeight w:val="364" w:hRule="atLeast"/>
        </w:trPr>
        <w:tc>
          <w:tcPr>
            <w:tcW w:w="164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9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上年结转资金</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14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gridAfter w:val="1"/>
          <w:wAfter w:w="88" w:type="dxa"/>
          <w:trHeight w:val="364" w:hRule="atLeast"/>
        </w:trPr>
        <w:tc>
          <w:tcPr>
            <w:tcW w:w="164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9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其他资金</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14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gridAfter w:val="1"/>
          <w:wAfter w:w="88" w:type="dxa"/>
          <w:trHeight w:val="453" w:hRule="atLeast"/>
        </w:trPr>
        <w:tc>
          <w:tcPr>
            <w:tcW w:w="5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年度总体目标完成情况</w:t>
            </w:r>
          </w:p>
        </w:tc>
        <w:tc>
          <w:tcPr>
            <w:tcW w:w="57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预期目标</w:t>
            </w:r>
          </w:p>
        </w:tc>
        <w:tc>
          <w:tcPr>
            <w:tcW w:w="440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实际完成情况</w:t>
            </w:r>
          </w:p>
        </w:tc>
      </w:tr>
      <w:tr>
        <w:tblPrEx>
          <w:tblCellMar>
            <w:top w:w="0" w:type="dxa"/>
            <w:left w:w="0" w:type="dxa"/>
            <w:bottom w:w="0" w:type="dxa"/>
            <w:right w:w="0" w:type="dxa"/>
          </w:tblCellMar>
        </w:tblPrEx>
        <w:trPr>
          <w:gridAfter w:val="1"/>
          <w:wAfter w:w="88" w:type="dxa"/>
          <w:trHeight w:val="2300"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57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总体目标：组织开展反封建迷信、反邪教科普宣传活动。组织开展科普讲座，科技志愿服务；制作反邪教科普展板、宣传册、科普图书等；利用“蚌埠科普”微信公众号、“科普大篷车”电视栏目等，开展反邪教科普宣传。通过开展各类宣传活动，进一步提高群众对邪教组织危害性的认识，增强了干部群众防邪、反邪思想意识，对营造我市浓厚的反邪教、防邪教社会氛围,为积极构建和谐社会起到积极作用。</w:t>
            </w:r>
          </w:p>
        </w:tc>
        <w:tc>
          <w:tcPr>
            <w:tcW w:w="440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已完成</w:t>
            </w:r>
          </w:p>
        </w:tc>
      </w:tr>
      <w:tr>
        <w:tblPrEx>
          <w:tblCellMar>
            <w:top w:w="0" w:type="dxa"/>
            <w:left w:w="0" w:type="dxa"/>
            <w:bottom w:w="0" w:type="dxa"/>
            <w:right w:w="0" w:type="dxa"/>
          </w:tblCellMar>
        </w:tblPrEx>
        <w:trPr>
          <w:trHeight w:val="761" w:hRule="atLeast"/>
        </w:trPr>
        <w:tc>
          <w:tcPr>
            <w:tcW w:w="5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16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度</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绩</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效</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完</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成</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情</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况</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一级指标</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二级指标</w:t>
            </w:r>
          </w:p>
        </w:tc>
        <w:tc>
          <w:tcPr>
            <w:tcW w:w="21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三级指标</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年度指标值</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实际</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完成值</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得分</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偏差原因分析</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和改进措施</w:t>
            </w:r>
          </w:p>
        </w:tc>
      </w:tr>
      <w:tr>
        <w:tblPrEx>
          <w:tblCellMar>
            <w:top w:w="0" w:type="dxa"/>
            <w:left w:w="0" w:type="dxa"/>
            <w:bottom w:w="0" w:type="dxa"/>
            <w:right w:w="0" w:type="dxa"/>
          </w:tblCellMar>
        </w:tblPrEx>
        <w:trPr>
          <w:trHeight w:val="761"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产</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（50分）</w:t>
            </w:r>
          </w:p>
        </w:tc>
        <w:tc>
          <w:tcPr>
            <w:tcW w:w="110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数量指标</w:t>
            </w:r>
          </w:p>
        </w:tc>
        <w:tc>
          <w:tcPr>
            <w:tcW w:w="21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指标1：开展科普讲座、科普巡展、科普咨询等活动</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≧10场次</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10场次</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1376"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10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1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指标2：制作展板，印制科普图书</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制作展板2套，印制科普图书1500册</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完成制作展板2套，印制科普图书1500册</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761"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10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1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指标3：利用“蚌埠科协”微信，开展科普宣传活动等</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≧1次</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1次</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675"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质量指标</w:t>
            </w:r>
          </w:p>
        </w:tc>
        <w:tc>
          <w:tcPr>
            <w:tcW w:w="21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项目执行率</w:t>
            </w:r>
            <w:r>
              <w:rPr>
                <w:rFonts w:hint="eastAsia" w:ascii="宋体" w:hAnsi="宋体" w:eastAsia="宋体" w:cs="宋体"/>
                <w:color w:val="000000"/>
                <w:sz w:val="18"/>
                <w:szCs w:val="18"/>
              </w:rPr>
              <w:tab/>
            </w:r>
            <w:r>
              <w:rPr>
                <w:rFonts w:hint="eastAsia" w:ascii="宋体" w:hAnsi="宋体" w:eastAsia="宋体" w:cs="宋体"/>
                <w:color w:val="000000"/>
                <w:sz w:val="18"/>
                <w:szCs w:val="18"/>
              </w:rPr>
              <w:tab/>
            </w:r>
            <w:r>
              <w:rPr>
                <w:rFonts w:hint="eastAsia" w:ascii="宋体" w:hAnsi="宋体" w:eastAsia="宋体" w:cs="宋体"/>
                <w:color w:val="000000"/>
                <w:sz w:val="18"/>
                <w:szCs w:val="18"/>
              </w:rPr>
              <w:tab/>
            </w:r>
            <w:r>
              <w:rPr>
                <w:rFonts w:hint="eastAsia" w:ascii="宋体" w:hAnsi="宋体" w:eastAsia="宋体" w:cs="宋体"/>
                <w:color w:val="000000"/>
                <w:sz w:val="18"/>
                <w:szCs w:val="18"/>
              </w:rPr>
              <w:tab/>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453"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时效指标</w:t>
            </w:r>
          </w:p>
        </w:tc>
        <w:tc>
          <w:tcPr>
            <w:tcW w:w="21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年度计划完成情况</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按计划完成</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按计划完成</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1000"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社会效益</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指标</w:t>
            </w:r>
          </w:p>
        </w:tc>
        <w:tc>
          <w:tcPr>
            <w:tcW w:w="21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开展科普宣传活动，营造学科学、懂科学、用科学良好氛围</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不断增强</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不断增强</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761"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可持续影响指标</w:t>
            </w:r>
          </w:p>
        </w:tc>
        <w:tc>
          <w:tcPr>
            <w:tcW w:w="21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不断提升公民科学素质</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不断提高</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不断提高</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1068"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满意度指标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（10分）</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服务对象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满意度指标</w:t>
            </w:r>
          </w:p>
        </w:tc>
        <w:tc>
          <w:tcPr>
            <w:tcW w:w="21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公众满意度</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≧98</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≧98</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sz w:val="18"/>
                <w:szCs w:val="18"/>
              </w:rPr>
              <w:t>进一步完善反邪教宣传工作，提高公众满意度</w:t>
            </w:r>
          </w:p>
        </w:tc>
      </w:tr>
      <w:tr>
        <w:tblPrEx>
          <w:tblCellMar>
            <w:top w:w="0" w:type="dxa"/>
            <w:left w:w="0" w:type="dxa"/>
            <w:bottom w:w="0" w:type="dxa"/>
            <w:right w:w="0" w:type="dxa"/>
          </w:tblCellMar>
        </w:tblPrEx>
        <w:trPr>
          <w:trHeight w:val="511" w:hRule="atLeast"/>
        </w:trPr>
        <w:tc>
          <w:tcPr>
            <w:tcW w:w="7397" w:type="dxa"/>
            <w:gridSpan w:val="7"/>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总分</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100</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color w:val="000000"/>
                <w:sz w:val="21"/>
                <w:szCs w:val="21"/>
                <w:lang w:val="en-US" w:eastAsia="zh-CN"/>
              </w:rPr>
            </w:pPr>
            <w:r>
              <w:rPr>
                <w:rFonts w:hint="eastAsia" w:ascii="宋体" w:hAnsi="宋体" w:eastAsia="宋体" w:cs="宋体"/>
                <w:b/>
                <w:color w:val="000000"/>
                <w:kern w:val="0"/>
                <w:sz w:val="21"/>
                <w:szCs w:val="21"/>
                <w:lang w:val="en-US" w:eastAsia="zh-CN" w:bidi="ar"/>
              </w:rPr>
              <w:t>99</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r>
    </w:tbl>
    <w:p>
      <w:pPr>
        <w:rPr>
          <w:rFonts w:ascii="仿宋_GB2312" w:hAnsi="仿宋_GB2312" w:cs="仿宋_GB2312"/>
          <w:b/>
          <w:bCs/>
          <w:szCs w:val="32"/>
        </w:rPr>
      </w:pPr>
      <w:r>
        <w:rPr>
          <w:rFonts w:hint="eastAsia" w:ascii="仿宋_GB2312" w:hAnsi="仿宋_GB2312" w:cs="仿宋_GB2312"/>
          <w:b/>
          <w:bCs/>
          <w:szCs w:val="32"/>
        </w:rPr>
        <w:t>附件</w:t>
      </w:r>
      <w:r>
        <w:rPr>
          <w:rFonts w:hint="eastAsia" w:ascii="仿宋_GB2312" w:hAnsi="仿宋_GB2312" w:cs="仿宋_GB2312"/>
          <w:b/>
          <w:bCs/>
          <w:szCs w:val="32"/>
          <w:lang w:val="en-US" w:eastAsia="zh-CN"/>
        </w:rPr>
        <w:t>4</w:t>
      </w:r>
      <w:r>
        <w:rPr>
          <w:rFonts w:hint="eastAsia" w:ascii="仿宋_GB2312" w:hAnsi="仿宋_GB2312" w:cs="仿宋_GB2312"/>
          <w:b/>
          <w:bCs/>
          <w:szCs w:val="32"/>
        </w:rPr>
        <w:t>：</w:t>
      </w:r>
    </w:p>
    <w:tbl>
      <w:tblPr>
        <w:tblStyle w:val="3"/>
        <w:tblW w:w="10680" w:type="dxa"/>
        <w:tblInd w:w="0" w:type="dxa"/>
        <w:tblLayout w:type="fixed"/>
        <w:tblCellMar>
          <w:top w:w="0" w:type="dxa"/>
          <w:left w:w="0" w:type="dxa"/>
          <w:bottom w:w="0" w:type="dxa"/>
          <w:right w:w="0" w:type="dxa"/>
        </w:tblCellMar>
      </w:tblPr>
      <w:tblGrid>
        <w:gridCol w:w="511"/>
        <w:gridCol w:w="999"/>
        <w:gridCol w:w="137"/>
        <w:gridCol w:w="915"/>
        <w:gridCol w:w="1177"/>
        <w:gridCol w:w="1255"/>
        <w:gridCol w:w="1470"/>
        <w:gridCol w:w="1093"/>
        <w:gridCol w:w="30"/>
        <w:gridCol w:w="626"/>
        <w:gridCol w:w="153"/>
        <w:gridCol w:w="503"/>
        <w:gridCol w:w="155"/>
        <w:gridCol w:w="890"/>
        <w:gridCol w:w="766"/>
      </w:tblGrid>
      <w:tr>
        <w:tblPrEx>
          <w:tblCellMar>
            <w:top w:w="0" w:type="dxa"/>
            <w:left w:w="0" w:type="dxa"/>
            <w:bottom w:w="0" w:type="dxa"/>
            <w:right w:w="0" w:type="dxa"/>
          </w:tblCellMar>
        </w:tblPrEx>
        <w:trPr>
          <w:trHeight w:val="896" w:hRule="atLeast"/>
        </w:trPr>
        <w:tc>
          <w:tcPr>
            <w:tcW w:w="10680" w:type="dxa"/>
            <w:gridSpan w:val="15"/>
            <w:tcBorders>
              <w:top w:val="nil"/>
              <w:left w:val="nil"/>
              <w:bottom w:val="nil"/>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Cs w:val="32"/>
              </w:rPr>
            </w:pPr>
            <w:r>
              <w:rPr>
                <w:rFonts w:hint="eastAsia" w:ascii="宋体" w:hAnsi="宋体" w:eastAsia="宋体" w:cs="宋体"/>
                <w:b/>
                <w:color w:val="000000"/>
                <w:kern w:val="0"/>
                <w:szCs w:val="32"/>
                <w:lang w:bidi="ar"/>
              </w:rPr>
              <w:t xml:space="preserve">项目支出绩效自评表 </w:t>
            </w:r>
          </w:p>
        </w:tc>
      </w:tr>
      <w:tr>
        <w:tblPrEx>
          <w:tblCellMar>
            <w:top w:w="0" w:type="dxa"/>
            <w:left w:w="0" w:type="dxa"/>
            <w:bottom w:w="0" w:type="dxa"/>
            <w:right w:w="0" w:type="dxa"/>
          </w:tblCellMar>
        </w:tblPrEx>
        <w:trPr>
          <w:trHeight w:val="481" w:hRule="atLeast"/>
        </w:trPr>
        <w:tc>
          <w:tcPr>
            <w:tcW w:w="10680" w:type="dxa"/>
            <w:gridSpan w:val="15"/>
            <w:tcBorders>
              <w:top w:val="nil"/>
              <w:left w:val="nil"/>
              <w:bottom w:val="single" w:color="000000" w:sz="4" w:space="0"/>
              <w:right w:val="nil"/>
            </w:tcBorders>
            <w:noWrap w:val="0"/>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w:t>
            </w:r>
            <w:r>
              <w:rPr>
                <w:rFonts w:hint="eastAsia" w:ascii="宋体" w:hAnsi="宋体" w:eastAsia="宋体" w:cs="宋体"/>
                <w:color w:val="000000"/>
                <w:kern w:val="0"/>
                <w:sz w:val="22"/>
                <w:szCs w:val="22"/>
                <w:lang w:val="en-US" w:eastAsia="zh-CN" w:bidi="ar"/>
              </w:rPr>
              <w:t>20</w:t>
            </w:r>
            <w:r>
              <w:rPr>
                <w:rFonts w:hint="eastAsia" w:ascii="宋体" w:hAnsi="宋体" w:eastAsia="宋体" w:cs="宋体"/>
                <w:color w:val="000000"/>
                <w:kern w:val="0"/>
                <w:sz w:val="22"/>
                <w:szCs w:val="22"/>
                <w:lang w:bidi="ar"/>
              </w:rPr>
              <w:t>年度）</w:t>
            </w:r>
          </w:p>
        </w:tc>
      </w:tr>
      <w:tr>
        <w:tblPrEx>
          <w:tblCellMar>
            <w:top w:w="0" w:type="dxa"/>
            <w:left w:w="0" w:type="dxa"/>
            <w:bottom w:w="0" w:type="dxa"/>
            <w:right w:w="0" w:type="dxa"/>
          </w:tblCellMar>
        </w:tblPrEx>
        <w:trPr>
          <w:trHeight w:val="739" w:hRule="atLeast"/>
        </w:trPr>
        <w:tc>
          <w:tcPr>
            <w:tcW w:w="164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9033"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中国科协海智计划项目</w:t>
            </w:r>
          </w:p>
        </w:tc>
      </w:tr>
      <w:tr>
        <w:tblPrEx>
          <w:tblCellMar>
            <w:top w:w="0" w:type="dxa"/>
            <w:left w:w="0" w:type="dxa"/>
            <w:bottom w:w="0" w:type="dxa"/>
            <w:right w:w="0" w:type="dxa"/>
          </w:tblCellMar>
        </w:tblPrEx>
        <w:trPr>
          <w:trHeight w:val="685" w:hRule="atLeast"/>
        </w:trPr>
        <w:tc>
          <w:tcPr>
            <w:tcW w:w="164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主管部门</w:t>
            </w:r>
          </w:p>
        </w:tc>
        <w:tc>
          <w:tcPr>
            <w:tcW w:w="481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蚌埠市科学技术协会</w:t>
            </w:r>
          </w:p>
        </w:tc>
        <w:tc>
          <w:tcPr>
            <w:tcW w:w="112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实施单位</w:t>
            </w:r>
          </w:p>
        </w:tc>
        <w:tc>
          <w:tcPr>
            <w:tcW w:w="309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科协</w:t>
            </w:r>
            <w:r>
              <w:rPr>
                <w:rFonts w:hint="eastAsia" w:ascii="宋体" w:hAnsi="宋体" w:eastAsia="宋体" w:cs="宋体"/>
                <w:color w:val="000000"/>
                <w:kern w:val="0"/>
                <w:sz w:val="21"/>
                <w:szCs w:val="21"/>
                <w:lang w:eastAsia="zh-CN" w:bidi="ar"/>
              </w:rPr>
              <w:t>学会</w:t>
            </w:r>
            <w:r>
              <w:rPr>
                <w:rFonts w:hint="eastAsia" w:ascii="宋体" w:hAnsi="宋体" w:eastAsia="宋体" w:cs="宋体"/>
                <w:color w:val="000000"/>
                <w:kern w:val="0"/>
                <w:sz w:val="21"/>
                <w:szCs w:val="21"/>
                <w:lang w:bidi="ar"/>
              </w:rPr>
              <w:t>部</w:t>
            </w:r>
          </w:p>
        </w:tc>
      </w:tr>
      <w:tr>
        <w:tblPrEx>
          <w:tblCellMar>
            <w:top w:w="0" w:type="dxa"/>
            <w:left w:w="0" w:type="dxa"/>
            <w:bottom w:w="0" w:type="dxa"/>
            <w:right w:w="0" w:type="dxa"/>
          </w:tblCellMar>
        </w:tblPrEx>
        <w:trPr>
          <w:trHeight w:val="631" w:hRule="atLeast"/>
        </w:trPr>
        <w:tc>
          <w:tcPr>
            <w:tcW w:w="1647"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项目资金</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（万元）</w:t>
            </w:r>
          </w:p>
        </w:tc>
        <w:tc>
          <w:tcPr>
            <w:tcW w:w="20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年初预算数（A）</w:t>
            </w:r>
          </w:p>
        </w:tc>
        <w:tc>
          <w:tcPr>
            <w:tcW w:w="147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全年预算数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w:t>
            </w:r>
          </w:p>
        </w:tc>
        <w:tc>
          <w:tcPr>
            <w:tcW w:w="190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全年执行数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（C）</w:t>
            </w:r>
          </w:p>
        </w:tc>
        <w:tc>
          <w:tcPr>
            <w:tcW w:w="658"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执行率（C/</w:t>
            </w:r>
            <w:r>
              <w:rPr>
                <w:rStyle w:val="5"/>
                <w:rFonts w:hint="default"/>
                <w:sz w:val="21"/>
                <w:szCs w:val="21"/>
                <w:lang w:bidi="ar"/>
              </w:rPr>
              <w:t>B)</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得分</w:t>
            </w:r>
          </w:p>
        </w:tc>
      </w:tr>
      <w:tr>
        <w:tblPrEx>
          <w:tblCellMar>
            <w:top w:w="0" w:type="dxa"/>
            <w:left w:w="0" w:type="dxa"/>
            <w:bottom w:w="0" w:type="dxa"/>
            <w:right w:w="0" w:type="dxa"/>
          </w:tblCellMar>
        </w:tblPrEx>
        <w:trPr>
          <w:trHeight w:val="368" w:hRule="atLeast"/>
        </w:trPr>
        <w:tc>
          <w:tcPr>
            <w:tcW w:w="1647"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年度资金总额：</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90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6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r>
      <w:tr>
        <w:tblPrEx>
          <w:tblCellMar>
            <w:top w:w="0" w:type="dxa"/>
            <w:left w:w="0" w:type="dxa"/>
            <w:bottom w:w="0" w:type="dxa"/>
            <w:right w:w="0" w:type="dxa"/>
          </w:tblCellMar>
        </w:tblPrEx>
        <w:trPr>
          <w:trHeight w:val="368" w:hRule="atLeast"/>
        </w:trPr>
        <w:tc>
          <w:tcPr>
            <w:tcW w:w="1647"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其中：当年财政拨款</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90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6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68" w:hRule="atLeast"/>
        </w:trPr>
        <w:tc>
          <w:tcPr>
            <w:tcW w:w="1647"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上年结转资金</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90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6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trHeight w:val="368" w:hRule="atLeast"/>
        </w:trPr>
        <w:tc>
          <w:tcPr>
            <w:tcW w:w="1647" w:type="dxa"/>
            <w:gridSpan w:val="3"/>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92"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其他资金</w:t>
            </w:r>
          </w:p>
        </w:tc>
        <w:tc>
          <w:tcPr>
            <w:tcW w:w="12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47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902" w:type="dxa"/>
            <w:gridSpan w:val="4"/>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658"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8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76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trHeight w:val="526" w:hRule="atLeast"/>
        </w:trPr>
        <w:tc>
          <w:tcPr>
            <w:tcW w:w="51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年度总体目标完成情况</w:t>
            </w:r>
          </w:p>
        </w:tc>
        <w:tc>
          <w:tcPr>
            <w:tcW w:w="5953"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预期目标</w:t>
            </w:r>
          </w:p>
        </w:tc>
        <w:tc>
          <w:tcPr>
            <w:tcW w:w="4216" w:type="dxa"/>
            <w:gridSpan w:val="8"/>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实际完成情况</w:t>
            </w:r>
          </w:p>
        </w:tc>
      </w:tr>
      <w:tr>
        <w:tblPrEx>
          <w:tblCellMar>
            <w:top w:w="0" w:type="dxa"/>
            <w:left w:w="0" w:type="dxa"/>
            <w:bottom w:w="0" w:type="dxa"/>
            <w:right w:w="0" w:type="dxa"/>
          </w:tblCellMar>
        </w:tblPrEx>
        <w:trPr>
          <w:trHeight w:val="1771" w:hRule="atLeast"/>
        </w:trPr>
        <w:tc>
          <w:tcPr>
            <w:tcW w:w="51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5953"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总体目标：开展3次海智活动。</w:t>
            </w:r>
          </w:p>
        </w:tc>
        <w:tc>
          <w:tcPr>
            <w:tcW w:w="4216" w:type="dxa"/>
            <w:gridSpan w:val="8"/>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已完成</w:t>
            </w:r>
          </w:p>
        </w:tc>
      </w:tr>
      <w:tr>
        <w:tblPrEx>
          <w:tblCellMar>
            <w:top w:w="0" w:type="dxa"/>
            <w:left w:w="0" w:type="dxa"/>
            <w:bottom w:w="0" w:type="dxa"/>
            <w:right w:w="0" w:type="dxa"/>
          </w:tblCellMar>
        </w:tblPrEx>
        <w:trPr>
          <w:trHeight w:val="941" w:hRule="atLeast"/>
        </w:trPr>
        <w:tc>
          <w:tcPr>
            <w:tcW w:w="511" w:type="dxa"/>
            <w:vMerge w:val="restart"/>
            <w:tcBorders>
              <w:top w:val="single" w:color="auto" w:sz="4" w:space="0"/>
              <w:left w:val="single" w:color="000000" w:sz="4" w:space="0"/>
              <w:right w:val="single" w:color="auto" w:sz="4" w:space="0"/>
            </w:tcBorders>
            <w:noWrap w:val="0"/>
            <w:tcMar>
              <w:top w:w="15" w:type="dxa"/>
              <w:left w:w="15" w:type="dxa"/>
              <w:right w:w="15" w:type="dxa"/>
            </w:tcMar>
            <w:textDirection w:val="tbRlV"/>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21"/>
                <w:szCs w:val="21"/>
                <w:lang w:bidi="ar"/>
              </w:rPr>
              <w:t>年</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度</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绩</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效</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完</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成</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情</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况</w:t>
            </w:r>
          </w:p>
        </w:tc>
        <w:tc>
          <w:tcPr>
            <w:tcW w:w="9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一级指标</w:t>
            </w:r>
          </w:p>
        </w:tc>
        <w:tc>
          <w:tcPr>
            <w:tcW w:w="105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二级指标</w:t>
            </w:r>
          </w:p>
        </w:tc>
        <w:tc>
          <w:tcPr>
            <w:tcW w:w="243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三级指标</w:t>
            </w:r>
          </w:p>
        </w:tc>
        <w:tc>
          <w:tcPr>
            <w:tcW w:w="1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年度指标值</w:t>
            </w:r>
          </w:p>
        </w:tc>
        <w:tc>
          <w:tcPr>
            <w:tcW w:w="1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实际</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完成值</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分值</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得分</w:t>
            </w:r>
          </w:p>
        </w:tc>
        <w:tc>
          <w:tcPr>
            <w:tcW w:w="181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偏差原因分析</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和改进措施</w:t>
            </w:r>
          </w:p>
        </w:tc>
      </w:tr>
      <w:tr>
        <w:tblPrEx>
          <w:tblCellMar>
            <w:top w:w="0" w:type="dxa"/>
            <w:left w:w="0" w:type="dxa"/>
            <w:bottom w:w="0" w:type="dxa"/>
            <w:right w:w="0" w:type="dxa"/>
          </w:tblCellMar>
        </w:tblPrEx>
        <w:trPr>
          <w:trHeight w:val="778" w:hRule="atLeast"/>
        </w:trPr>
        <w:tc>
          <w:tcPr>
            <w:tcW w:w="511" w:type="dxa"/>
            <w:vMerge w:val="continue"/>
            <w:tcBorders>
              <w:left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9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（50分）</w:t>
            </w:r>
          </w:p>
        </w:tc>
        <w:tc>
          <w:tcPr>
            <w:tcW w:w="105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数量指标</w:t>
            </w:r>
          </w:p>
        </w:tc>
        <w:tc>
          <w:tcPr>
            <w:tcW w:w="243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开展海智活动</w:t>
            </w:r>
          </w:p>
        </w:tc>
        <w:tc>
          <w:tcPr>
            <w:tcW w:w="1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≥3次</w:t>
            </w:r>
          </w:p>
        </w:tc>
        <w:tc>
          <w:tcPr>
            <w:tcW w:w="1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3次</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w:t>
            </w:r>
          </w:p>
        </w:tc>
        <w:tc>
          <w:tcPr>
            <w:tcW w:w="181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564" w:hRule="atLeast"/>
        </w:trPr>
        <w:tc>
          <w:tcPr>
            <w:tcW w:w="511" w:type="dxa"/>
            <w:vMerge w:val="continue"/>
            <w:tcBorders>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9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052"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质量指标</w:t>
            </w:r>
          </w:p>
        </w:tc>
        <w:tc>
          <w:tcPr>
            <w:tcW w:w="243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项目执行率</w:t>
            </w:r>
          </w:p>
        </w:tc>
        <w:tc>
          <w:tcPr>
            <w:tcW w:w="1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100%</w:t>
            </w:r>
          </w:p>
        </w:tc>
        <w:tc>
          <w:tcPr>
            <w:tcW w:w="1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100%</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81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sz w:val="18"/>
                <w:szCs w:val="18"/>
              </w:rPr>
            </w:pPr>
          </w:p>
        </w:tc>
      </w:tr>
      <w:tr>
        <w:tblPrEx>
          <w:tblCellMar>
            <w:top w:w="0" w:type="dxa"/>
            <w:left w:w="0" w:type="dxa"/>
            <w:bottom w:w="0" w:type="dxa"/>
            <w:right w:w="0" w:type="dxa"/>
          </w:tblCellMar>
        </w:tblPrEx>
        <w:trPr>
          <w:trHeight w:val="775" w:hRule="atLeast"/>
        </w:trPr>
        <w:tc>
          <w:tcPr>
            <w:tcW w:w="511" w:type="dxa"/>
            <w:vMerge w:val="continue"/>
            <w:tcBorders>
              <w:top w:val="single" w:color="000000" w:sz="4" w:space="0"/>
              <w:left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9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052"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43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经费支出合规性</w:t>
            </w:r>
          </w:p>
        </w:tc>
        <w:tc>
          <w:tcPr>
            <w:tcW w:w="1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严格执行相关财经法规、制度</w:t>
            </w:r>
          </w:p>
        </w:tc>
        <w:tc>
          <w:tcPr>
            <w:tcW w:w="1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100%</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81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sz w:val="18"/>
                <w:szCs w:val="18"/>
              </w:rPr>
            </w:pPr>
          </w:p>
        </w:tc>
      </w:tr>
      <w:tr>
        <w:tblPrEx>
          <w:tblCellMar>
            <w:top w:w="0" w:type="dxa"/>
            <w:left w:w="0" w:type="dxa"/>
            <w:bottom w:w="0" w:type="dxa"/>
            <w:right w:w="0" w:type="dxa"/>
          </w:tblCellMar>
        </w:tblPrEx>
        <w:trPr>
          <w:trHeight w:val="526" w:hRule="atLeast"/>
        </w:trPr>
        <w:tc>
          <w:tcPr>
            <w:tcW w:w="511" w:type="dxa"/>
            <w:vMerge w:val="continue"/>
            <w:tcBorders>
              <w:left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9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05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时效指标</w:t>
            </w:r>
          </w:p>
        </w:tc>
        <w:tc>
          <w:tcPr>
            <w:tcW w:w="243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年度计划完成情况</w:t>
            </w:r>
          </w:p>
        </w:tc>
        <w:tc>
          <w:tcPr>
            <w:tcW w:w="1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按计划完成</w:t>
            </w:r>
          </w:p>
        </w:tc>
        <w:tc>
          <w:tcPr>
            <w:tcW w:w="1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按计划完成</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181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775" w:hRule="atLeast"/>
        </w:trPr>
        <w:tc>
          <w:tcPr>
            <w:tcW w:w="511" w:type="dxa"/>
            <w:vMerge w:val="continue"/>
            <w:tcBorders>
              <w:left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9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（30分）</w:t>
            </w:r>
          </w:p>
        </w:tc>
        <w:tc>
          <w:tcPr>
            <w:tcW w:w="105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经济效益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tc>
        <w:tc>
          <w:tcPr>
            <w:tcW w:w="243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帮助企业引智引资</w:t>
            </w:r>
          </w:p>
        </w:tc>
        <w:tc>
          <w:tcPr>
            <w:tcW w:w="1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不断提高</w:t>
            </w:r>
          </w:p>
        </w:tc>
        <w:tc>
          <w:tcPr>
            <w:tcW w:w="1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不断提高</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20</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18</w:t>
            </w:r>
          </w:p>
        </w:tc>
        <w:tc>
          <w:tcPr>
            <w:tcW w:w="181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进一步提高帮助力度</w:t>
            </w:r>
          </w:p>
        </w:tc>
      </w:tr>
      <w:tr>
        <w:tblPrEx>
          <w:tblCellMar>
            <w:top w:w="0" w:type="dxa"/>
            <w:left w:w="0" w:type="dxa"/>
            <w:bottom w:w="0" w:type="dxa"/>
            <w:right w:w="0" w:type="dxa"/>
          </w:tblCellMar>
        </w:tblPrEx>
        <w:trPr>
          <w:trHeight w:val="1095" w:hRule="atLeast"/>
        </w:trPr>
        <w:tc>
          <w:tcPr>
            <w:tcW w:w="511" w:type="dxa"/>
            <w:vMerge w:val="continue"/>
            <w:tcBorders>
              <w:left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9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05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可持续影响指标</w:t>
            </w:r>
          </w:p>
        </w:tc>
        <w:tc>
          <w:tcPr>
            <w:tcW w:w="243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帮助企业提升创新产品</w:t>
            </w:r>
          </w:p>
        </w:tc>
        <w:tc>
          <w:tcPr>
            <w:tcW w:w="1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不断提高</w:t>
            </w:r>
          </w:p>
        </w:tc>
        <w:tc>
          <w:tcPr>
            <w:tcW w:w="1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不断提高</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10</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9</w:t>
            </w:r>
          </w:p>
        </w:tc>
        <w:tc>
          <w:tcPr>
            <w:tcW w:w="181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进一步提高帮助力度</w:t>
            </w:r>
          </w:p>
        </w:tc>
      </w:tr>
      <w:tr>
        <w:tblPrEx>
          <w:tblCellMar>
            <w:top w:w="0" w:type="dxa"/>
            <w:left w:w="0" w:type="dxa"/>
            <w:bottom w:w="0" w:type="dxa"/>
            <w:right w:w="0" w:type="dxa"/>
          </w:tblCellMar>
        </w:tblPrEx>
        <w:trPr>
          <w:trHeight w:val="941" w:hRule="atLeast"/>
        </w:trPr>
        <w:tc>
          <w:tcPr>
            <w:tcW w:w="511" w:type="dxa"/>
            <w:vMerge w:val="continue"/>
            <w:tcBorders>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9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满意度指标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（10分）</w:t>
            </w:r>
          </w:p>
        </w:tc>
        <w:tc>
          <w:tcPr>
            <w:tcW w:w="105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服务对象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满意度指标</w:t>
            </w:r>
          </w:p>
        </w:tc>
        <w:tc>
          <w:tcPr>
            <w:tcW w:w="243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公众满意度</w:t>
            </w:r>
          </w:p>
        </w:tc>
        <w:tc>
          <w:tcPr>
            <w:tcW w:w="1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≧98</w:t>
            </w:r>
          </w:p>
        </w:tc>
        <w:tc>
          <w:tcPr>
            <w:tcW w:w="1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≧98</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w:t>
            </w:r>
          </w:p>
        </w:tc>
        <w:tc>
          <w:tcPr>
            <w:tcW w:w="181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698" w:hRule="atLeast"/>
        </w:trPr>
        <w:tc>
          <w:tcPr>
            <w:tcW w:w="7557" w:type="dxa"/>
            <w:gridSpan w:val="8"/>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i w:val="0"/>
                <w:color w:val="000000"/>
                <w:kern w:val="0"/>
                <w:sz w:val="21"/>
                <w:szCs w:val="21"/>
                <w:u w:val="none"/>
                <w:lang w:val="en-US" w:eastAsia="zh-CN" w:bidi="ar"/>
              </w:rPr>
              <w:t>总分</w:t>
            </w:r>
          </w:p>
        </w:tc>
        <w:tc>
          <w:tcPr>
            <w:tcW w:w="6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i w:val="0"/>
                <w:color w:val="000000"/>
                <w:kern w:val="0"/>
                <w:sz w:val="21"/>
                <w:szCs w:val="21"/>
                <w:u w:val="none"/>
                <w:lang w:val="en-US" w:eastAsia="zh-CN" w:bidi="ar"/>
              </w:rPr>
              <w:t>100</w:t>
            </w:r>
          </w:p>
        </w:tc>
        <w:tc>
          <w:tcPr>
            <w:tcW w:w="6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color w:val="000000"/>
                <w:sz w:val="21"/>
                <w:szCs w:val="21"/>
                <w:lang w:val="en-US" w:eastAsia="zh-CN"/>
              </w:rPr>
            </w:pPr>
            <w:r>
              <w:rPr>
                <w:rFonts w:hint="eastAsia" w:ascii="宋体" w:hAnsi="宋体" w:eastAsia="宋体" w:cs="宋体"/>
                <w:b/>
                <w:i w:val="0"/>
                <w:color w:val="000000"/>
                <w:kern w:val="0"/>
                <w:sz w:val="21"/>
                <w:szCs w:val="21"/>
                <w:u w:val="none"/>
                <w:lang w:val="en-US" w:eastAsia="zh-CN" w:bidi="ar"/>
              </w:rPr>
              <w:t>96</w:t>
            </w:r>
          </w:p>
        </w:tc>
        <w:tc>
          <w:tcPr>
            <w:tcW w:w="181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r>
    </w:tbl>
    <w:p>
      <w:pPr>
        <w:rPr>
          <w:rFonts w:ascii="仿宋_GB2312" w:hAnsi="仿宋_GB2312" w:cs="仿宋_GB2312"/>
          <w:b/>
          <w:bCs/>
          <w:szCs w:val="32"/>
        </w:rPr>
      </w:pPr>
      <w:r>
        <w:rPr>
          <w:rFonts w:hint="eastAsia" w:ascii="仿宋_GB2312" w:hAnsi="仿宋_GB2312" w:cs="仿宋_GB2312"/>
          <w:b/>
          <w:bCs/>
          <w:szCs w:val="32"/>
        </w:rPr>
        <w:t>附件</w:t>
      </w:r>
      <w:r>
        <w:rPr>
          <w:rFonts w:hint="eastAsia" w:ascii="仿宋_GB2312" w:hAnsi="仿宋_GB2312" w:cs="仿宋_GB2312"/>
          <w:b/>
          <w:bCs/>
          <w:szCs w:val="32"/>
          <w:lang w:val="en-US" w:eastAsia="zh-CN"/>
        </w:rPr>
        <w:t>5</w:t>
      </w:r>
      <w:r>
        <w:rPr>
          <w:rFonts w:hint="eastAsia" w:ascii="仿宋_GB2312" w:hAnsi="仿宋_GB2312" w:cs="仿宋_GB2312"/>
          <w:b/>
          <w:bCs/>
          <w:szCs w:val="32"/>
        </w:rPr>
        <w:t>：</w:t>
      </w:r>
    </w:p>
    <w:tbl>
      <w:tblPr>
        <w:tblStyle w:val="3"/>
        <w:tblW w:w="10720" w:type="dxa"/>
        <w:tblInd w:w="0" w:type="dxa"/>
        <w:tblLayout w:type="fixed"/>
        <w:tblCellMar>
          <w:top w:w="0" w:type="dxa"/>
          <w:left w:w="0" w:type="dxa"/>
          <w:bottom w:w="0" w:type="dxa"/>
          <w:right w:w="0" w:type="dxa"/>
        </w:tblCellMar>
      </w:tblPr>
      <w:tblGrid>
        <w:gridCol w:w="513"/>
        <w:gridCol w:w="1140"/>
        <w:gridCol w:w="1344"/>
        <w:gridCol w:w="727"/>
        <w:gridCol w:w="1335"/>
        <w:gridCol w:w="1429"/>
        <w:gridCol w:w="1128"/>
        <w:gridCol w:w="782"/>
        <w:gridCol w:w="661"/>
        <w:gridCol w:w="893"/>
        <w:gridCol w:w="768"/>
      </w:tblGrid>
      <w:tr>
        <w:tblPrEx>
          <w:tblCellMar>
            <w:top w:w="0" w:type="dxa"/>
            <w:left w:w="0" w:type="dxa"/>
            <w:bottom w:w="0" w:type="dxa"/>
            <w:right w:w="0" w:type="dxa"/>
          </w:tblCellMar>
        </w:tblPrEx>
        <w:trPr>
          <w:trHeight w:val="799" w:hRule="atLeast"/>
        </w:trPr>
        <w:tc>
          <w:tcPr>
            <w:tcW w:w="10720" w:type="dxa"/>
            <w:gridSpan w:val="11"/>
            <w:tcBorders>
              <w:top w:val="nil"/>
              <w:left w:val="nil"/>
              <w:bottom w:val="nil"/>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Cs w:val="32"/>
              </w:rPr>
            </w:pPr>
            <w:r>
              <w:rPr>
                <w:rFonts w:hint="eastAsia" w:ascii="宋体" w:hAnsi="宋体" w:eastAsia="宋体" w:cs="宋体"/>
                <w:b/>
                <w:color w:val="000000"/>
                <w:kern w:val="0"/>
                <w:szCs w:val="32"/>
                <w:lang w:bidi="ar"/>
              </w:rPr>
              <w:t xml:space="preserve">项目支出绩效自评表 </w:t>
            </w:r>
          </w:p>
        </w:tc>
      </w:tr>
      <w:tr>
        <w:tblPrEx>
          <w:tblCellMar>
            <w:top w:w="0" w:type="dxa"/>
            <w:left w:w="0" w:type="dxa"/>
            <w:bottom w:w="0" w:type="dxa"/>
            <w:right w:w="0" w:type="dxa"/>
          </w:tblCellMar>
        </w:tblPrEx>
        <w:trPr>
          <w:trHeight w:val="430" w:hRule="atLeast"/>
        </w:trPr>
        <w:tc>
          <w:tcPr>
            <w:tcW w:w="10720" w:type="dxa"/>
            <w:gridSpan w:val="11"/>
            <w:tcBorders>
              <w:top w:val="nil"/>
              <w:left w:val="nil"/>
              <w:bottom w:val="single" w:color="000000" w:sz="4" w:space="0"/>
              <w:right w:val="nil"/>
            </w:tcBorders>
            <w:noWrap w:val="0"/>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w:t>
            </w:r>
            <w:r>
              <w:rPr>
                <w:rFonts w:hint="eastAsia" w:ascii="宋体" w:hAnsi="宋体" w:eastAsia="宋体" w:cs="宋体"/>
                <w:color w:val="000000"/>
                <w:kern w:val="0"/>
                <w:sz w:val="22"/>
                <w:szCs w:val="22"/>
                <w:lang w:val="en-US" w:eastAsia="zh-CN" w:bidi="ar"/>
              </w:rPr>
              <w:t>20</w:t>
            </w:r>
            <w:r>
              <w:rPr>
                <w:rFonts w:hint="eastAsia" w:ascii="宋体" w:hAnsi="宋体" w:eastAsia="宋体" w:cs="宋体"/>
                <w:color w:val="000000"/>
                <w:kern w:val="0"/>
                <w:sz w:val="22"/>
                <w:szCs w:val="22"/>
                <w:lang w:bidi="ar"/>
              </w:rPr>
              <w:t>年度）</w:t>
            </w:r>
          </w:p>
        </w:tc>
      </w:tr>
      <w:tr>
        <w:tblPrEx>
          <w:tblCellMar>
            <w:top w:w="0" w:type="dxa"/>
            <w:left w:w="0" w:type="dxa"/>
            <w:bottom w:w="0" w:type="dxa"/>
            <w:right w:w="0" w:type="dxa"/>
          </w:tblCellMar>
        </w:tblPrEx>
        <w:trPr>
          <w:trHeight w:val="659" w:hRule="atLeast"/>
        </w:trPr>
        <w:tc>
          <w:tcPr>
            <w:tcW w:w="165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9067"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创新驱动助力工程项目</w:t>
            </w:r>
          </w:p>
        </w:tc>
      </w:tr>
      <w:tr>
        <w:tblPrEx>
          <w:tblCellMar>
            <w:top w:w="0" w:type="dxa"/>
            <w:left w:w="0" w:type="dxa"/>
            <w:bottom w:w="0" w:type="dxa"/>
            <w:right w:w="0" w:type="dxa"/>
          </w:tblCellMar>
        </w:tblPrEx>
        <w:trPr>
          <w:trHeight w:val="611" w:hRule="atLeast"/>
        </w:trPr>
        <w:tc>
          <w:tcPr>
            <w:tcW w:w="165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主管部门</w:t>
            </w:r>
          </w:p>
        </w:tc>
        <w:tc>
          <w:tcPr>
            <w:tcW w:w="483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蚌埠市科学技术协会</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实施单位</w:t>
            </w:r>
          </w:p>
        </w:tc>
        <w:tc>
          <w:tcPr>
            <w:tcW w:w="310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科协</w:t>
            </w:r>
            <w:r>
              <w:rPr>
                <w:rFonts w:hint="eastAsia" w:ascii="宋体" w:hAnsi="宋体" w:eastAsia="宋体" w:cs="宋体"/>
                <w:color w:val="000000"/>
                <w:kern w:val="0"/>
                <w:sz w:val="21"/>
                <w:szCs w:val="21"/>
                <w:lang w:eastAsia="zh-CN" w:bidi="ar"/>
              </w:rPr>
              <w:t>学会</w:t>
            </w:r>
            <w:r>
              <w:rPr>
                <w:rFonts w:hint="eastAsia" w:ascii="宋体" w:hAnsi="宋体" w:eastAsia="宋体" w:cs="宋体"/>
                <w:color w:val="000000"/>
                <w:kern w:val="0"/>
                <w:sz w:val="21"/>
                <w:szCs w:val="21"/>
                <w:lang w:bidi="ar"/>
              </w:rPr>
              <w:t>部</w:t>
            </w:r>
          </w:p>
        </w:tc>
      </w:tr>
      <w:tr>
        <w:tblPrEx>
          <w:tblCellMar>
            <w:top w:w="0" w:type="dxa"/>
            <w:left w:w="0" w:type="dxa"/>
            <w:bottom w:w="0" w:type="dxa"/>
            <w:right w:w="0" w:type="dxa"/>
          </w:tblCellMar>
        </w:tblPrEx>
        <w:trPr>
          <w:trHeight w:val="537" w:hRule="atLeast"/>
        </w:trPr>
        <w:tc>
          <w:tcPr>
            <w:tcW w:w="165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项目资金</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（万元）</w:t>
            </w:r>
          </w:p>
        </w:tc>
        <w:tc>
          <w:tcPr>
            <w:tcW w:w="20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33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年初预算数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（A）</w:t>
            </w:r>
          </w:p>
        </w:tc>
        <w:tc>
          <w:tcPr>
            <w:tcW w:w="142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全年预算数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w:t>
            </w:r>
          </w:p>
        </w:tc>
        <w:tc>
          <w:tcPr>
            <w:tcW w:w="19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全年执行数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（C）</w:t>
            </w:r>
          </w:p>
        </w:tc>
        <w:tc>
          <w:tcPr>
            <w:tcW w:w="66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执行率（C/</w:t>
            </w:r>
            <w:r>
              <w:rPr>
                <w:rStyle w:val="5"/>
                <w:rFonts w:hint="default"/>
                <w:sz w:val="21"/>
                <w:szCs w:val="21"/>
                <w:lang w:bidi="ar"/>
              </w:rPr>
              <w:t>B)</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得分</w:t>
            </w:r>
          </w:p>
        </w:tc>
      </w:tr>
      <w:tr>
        <w:tblPrEx>
          <w:tblCellMar>
            <w:top w:w="0" w:type="dxa"/>
            <w:left w:w="0" w:type="dxa"/>
            <w:bottom w:w="0" w:type="dxa"/>
            <w:right w:w="0" w:type="dxa"/>
          </w:tblCellMar>
        </w:tblPrEx>
        <w:trPr>
          <w:trHeight w:val="346" w:hRule="atLeast"/>
        </w:trPr>
        <w:tc>
          <w:tcPr>
            <w:tcW w:w="165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年度资金总额：</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9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r>
      <w:tr>
        <w:tblPrEx>
          <w:tblCellMar>
            <w:top w:w="0" w:type="dxa"/>
            <w:left w:w="0" w:type="dxa"/>
            <w:bottom w:w="0" w:type="dxa"/>
            <w:right w:w="0" w:type="dxa"/>
          </w:tblCellMar>
        </w:tblPrEx>
        <w:trPr>
          <w:trHeight w:val="346" w:hRule="atLeast"/>
        </w:trPr>
        <w:tc>
          <w:tcPr>
            <w:tcW w:w="165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其中：当年财政拨款</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9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c>
          <w:tcPr>
            <w:tcW w:w="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46" w:hRule="atLeast"/>
        </w:trPr>
        <w:tc>
          <w:tcPr>
            <w:tcW w:w="165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上年结转资金</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9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trHeight w:val="346" w:hRule="atLeast"/>
        </w:trPr>
        <w:tc>
          <w:tcPr>
            <w:tcW w:w="165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其他资金</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9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trHeight w:val="469" w:hRule="atLeast"/>
        </w:trPr>
        <w:tc>
          <w:tcPr>
            <w:tcW w:w="5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年度总体目标完成情况</w:t>
            </w:r>
          </w:p>
        </w:tc>
        <w:tc>
          <w:tcPr>
            <w:tcW w:w="5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预期目标</w:t>
            </w:r>
          </w:p>
        </w:tc>
        <w:tc>
          <w:tcPr>
            <w:tcW w:w="423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实际完成情况</w:t>
            </w:r>
          </w:p>
        </w:tc>
      </w:tr>
      <w:tr>
        <w:tblPrEx>
          <w:tblCellMar>
            <w:top w:w="0" w:type="dxa"/>
            <w:left w:w="0" w:type="dxa"/>
            <w:bottom w:w="0" w:type="dxa"/>
            <w:right w:w="0" w:type="dxa"/>
          </w:tblCellMar>
        </w:tblPrEx>
        <w:trPr>
          <w:trHeight w:val="1421" w:hRule="atLeast"/>
        </w:trPr>
        <w:tc>
          <w:tcPr>
            <w:tcW w:w="5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5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总体目标：设立学会专家工作站，服务企业技术升级。</w:t>
            </w:r>
          </w:p>
        </w:tc>
        <w:tc>
          <w:tcPr>
            <w:tcW w:w="423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已完成</w:t>
            </w:r>
          </w:p>
        </w:tc>
      </w:tr>
      <w:tr>
        <w:tblPrEx>
          <w:tblCellMar>
            <w:top w:w="0" w:type="dxa"/>
            <w:left w:w="0" w:type="dxa"/>
            <w:bottom w:w="0" w:type="dxa"/>
            <w:right w:w="0" w:type="dxa"/>
          </w:tblCellMar>
        </w:tblPrEx>
        <w:trPr>
          <w:trHeight w:val="840" w:hRule="atLeast"/>
        </w:trPr>
        <w:tc>
          <w:tcPr>
            <w:tcW w:w="5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16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度</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绩</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效</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完</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成</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情</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况</w:t>
            </w:r>
          </w:p>
        </w:tc>
        <w:tc>
          <w:tcPr>
            <w:tcW w:w="114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一级指标</w:t>
            </w:r>
          </w:p>
        </w:tc>
        <w:tc>
          <w:tcPr>
            <w:tcW w:w="134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二级指标</w:t>
            </w:r>
          </w:p>
        </w:tc>
        <w:tc>
          <w:tcPr>
            <w:tcW w:w="2062"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三级指标</w:t>
            </w:r>
          </w:p>
        </w:tc>
        <w:tc>
          <w:tcPr>
            <w:tcW w:w="142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年度指标值</w:t>
            </w:r>
          </w:p>
        </w:tc>
        <w:tc>
          <w:tcPr>
            <w:tcW w:w="112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实际</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完成值</w:t>
            </w:r>
          </w:p>
        </w:tc>
        <w:tc>
          <w:tcPr>
            <w:tcW w:w="7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66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得分</w:t>
            </w:r>
          </w:p>
        </w:tc>
        <w:tc>
          <w:tcPr>
            <w:tcW w:w="1661"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偏差原因分析</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和改进措施</w:t>
            </w:r>
          </w:p>
        </w:tc>
      </w:tr>
      <w:tr>
        <w:tblPrEx>
          <w:tblCellMar>
            <w:top w:w="0" w:type="dxa"/>
            <w:left w:w="0" w:type="dxa"/>
            <w:bottom w:w="0" w:type="dxa"/>
            <w:right w:w="0" w:type="dxa"/>
          </w:tblCellMar>
        </w:tblPrEx>
        <w:trPr>
          <w:trHeight w:val="840" w:hRule="atLeast"/>
        </w:trPr>
        <w:tc>
          <w:tcPr>
            <w:tcW w:w="513"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（50分）</w:t>
            </w:r>
          </w:p>
        </w:tc>
        <w:tc>
          <w:tcPr>
            <w:tcW w:w="134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数量指标</w:t>
            </w:r>
          </w:p>
        </w:tc>
        <w:tc>
          <w:tcPr>
            <w:tcW w:w="206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设立学会专家工作站</w:t>
            </w:r>
          </w:p>
        </w:tc>
        <w:tc>
          <w:tcPr>
            <w:tcW w:w="142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≥5家</w:t>
            </w:r>
          </w:p>
        </w:tc>
        <w:tc>
          <w:tcPr>
            <w:tcW w:w="112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5家</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66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1209" w:hRule="atLeast"/>
        </w:trPr>
        <w:tc>
          <w:tcPr>
            <w:tcW w:w="513"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4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06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服务企业技术升级</w:t>
            </w:r>
          </w:p>
        </w:tc>
        <w:tc>
          <w:tcPr>
            <w:tcW w:w="142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≥10次</w:t>
            </w:r>
          </w:p>
        </w:tc>
        <w:tc>
          <w:tcPr>
            <w:tcW w:w="112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10次</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66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sz w:val="18"/>
                <w:szCs w:val="18"/>
              </w:rPr>
            </w:pPr>
          </w:p>
        </w:tc>
      </w:tr>
      <w:tr>
        <w:tblPrEx>
          <w:tblCellMar>
            <w:top w:w="0" w:type="dxa"/>
            <w:left w:w="0" w:type="dxa"/>
            <w:bottom w:w="0" w:type="dxa"/>
            <w:right w:w="0" w:type="dxa"/>
          </w:tblCellMar>
        </w:tblPrEx>
        <w:trPr>
          <w:trHeight w:val="469" w:hRule="atLeast"/>
        </w:trPr>
        <w:tc>
          <w:tcPr>
            <w:tcW w:w="513"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4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质量指标</w:t>
            </w:r>
          </w:p>
        </w:tc>
        <w:tc>
          <w:tcPr>
            <w:tcW w:w="206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项目执行率</w:t>
            </w:r>
          </w:p>
        </w:tc>
        <w:tc>
          <w:tcPr>
            <w:tcW w:w="142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100%</w:t>
            </w:r>
          </w:p>
        </w:tc>
        <w:tc>
          <w:tcPr>
            <w:tcW w:w="112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100%</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66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sz w:val="18"/>
                <w:szCs w:val="18"/>
              </w:rPr>
            </w:pPr>
          </w:p>
        </w:tc>
      </w:tr>
      <w:tr>
        <w:tblPrEx>
          <w:tblCellMar>
            <w:top w:w="0" w:type="dxa"/>
            <w:left w:w="0" w:type="dxa"/>
            <w:bottom w:w="0" w:type="dxa"/>
            <w:right w:w="0" w:type="dxa"/>
          </w:tblCellMar>
        </w:tblPrEx>
        <w:trPr>
          <w:trHeight w:val="692" w:hRule="atLeast"/>
        </w:trPr>
        <w:tc>
          <w:tcPr>
            <w:tcW w:w="513"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4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06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经费支出合规性</w:t>
            </w:r>
          </w:p>
        </w:tc>
        <w:tc>
          <w:tcPr>
            <w:tcW w:w="142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严格执行相关财经法规、制度</w:t>
            </w:r>
          </w:p>
        </w:tc>
        <w:tc>
          <w:tcPr>
            <w:tcW w:w="112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6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166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sz w:val="18"/>
                <w:szCs w:val="18"/>
              </w:rPr>
            </w:pPr>
          </w:p>
        </w:tc>
      </w:tr>
      <w:tr>
        <w:tblPrEx>
          <w:tblCellMar>
            <w:top w:w="0" w:type="dxa"/>
            <w:left w:w="0" w:type="dxa"/>
            <w:bottom w:w="0" w:type="dxa"/>
            <w:right w:w="0" w:type="dxa"/>
          </w:tblCellMar>
        </w:tblPrEx>
        <w:trPr>
          <w:trHeight w:val="469" w:hRule="atLeast"/>
        </w:trPr>
        <w:tc>
          <w:tcPr>
            <w:tcW w:w="513"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（30分）</w:t>
            </w:r>
          </w:p>
        </w:tc>
        <w:tc>
          <w:tcPr>
            <w:tcW w:w="134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时效指标</w:t>
            </w:r>
          </w:p>
        </w:tc>
        <w:tc>
          <w:tcPr>
            <w:tcW w:w="206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年度计划完成情况</w:t>
            </w:r>
          </w:p>
        </w:tc>
        <w:tc>
          <w:tcPr>
            <w:tcW w:w="142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按计划完成</w:t>
            </w:r>
          </w:p>
        </w:tc>
        <w:tc>
          <w:tcPr>
            <w:tcW w:w="112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按计划完成</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10</w:t>
            </w:r>
          </w:p>
        </w:tc>
        <w:tc>
          <w:tcPr>
            <w:tcW w:w="6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10</w:t>
            </w:r>
          </w:p>
        </w:tc>
        <w:tc>
          <w:tcPr>
            <w:tcW w:w="166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1199" w:hRule="atLeast"/>
        </w:trPr>
        <w:tc>
          <w:tcPr>
            <w:tcW w:w="513"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4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经济效益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tc>
        <w:tc>
          <w:tcPr>
            <w:tcW w:w="206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帮助企业创造效益</w:t>
            </w:r>
          </w:p>
        </w:tc>
        <w:tc>
          <w:tcPr>
            <w:tcW w:w="142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不断提高</w:t>
            </w:r>
          </w:p>
        </w:tc>
        <w:tc>
          <w:tcPr>
            <w:tcW w:w="112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不断提高</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20</w:t>
            </w:r>
          </w:p>
        </w:tc>
        <w:tc>
          <w:tcPr>
            <w:tcW w:w="6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20</w:t>
            </w:r>
          </w:p>
        </w:tc>
        <w:tc>
          <w:tcPr>
            <w:tcW w:w="166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840" w:hRule="atLeast"/>
        </w:trPr>
        <w:tc>
          <w:tcPr>
            <w:tcW w:w="513"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p>
        </w:tc>
        <w:tc>
          <w:tcPr>
            <w:tcW w:w="134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可持续影响</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指标</w:t>
            </w:r>
          </w:p>
        </w:tc>
        <w:tc>
          <w:tcPr>
            <w:tcW w:w="206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帮助企业提升创新产品</w:t>
            </w:r>
          </w:p>
        </w:tc>
        <w:tc>
          <w:tcPr>
            <w:tcW w:w="142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不断提高</w:t>
            </w:r>
          </w:p>
        </w:tc>
        <w:tc>
          <w:tcPr>
            <w:tcW w:w="112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不断提高</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w:t>
            </w:r>
          </w:p>
        </w:tc>
        <w:tc>
          <w:tcPr>
            <w:tcW w:w="166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进一步提高帮助力度</w:t>
            </w:r>
          </w:p>
        </w:tc>
      </w:tr>
      <w:tr>
        <w:tblPrEx>
          <w:tblCellMar>
            <w:top w:w="0" w:type="dxa"/>
            <w:left w:w="0" w:type="dxa"/>
            <w:bottom w:w="0" w:type="dxa"/>
            <w:right w:w="0" w:type="dxa"/>
          </w:tblCellMar>
        </w:tblPrEx>
        <w:trPr>
          <w:trHeight w:val="840" w:hRule="atLeast"/>
        </w:trPr>
        <w:tc>
          <w:tcPr>
            <w:tcW w:w="513"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满意度指标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（10分）</w:t>
            </w:r>
          </w:p>
        </w:tc>
        <w:tc>
          <w:tcPr>
            <w:tcW w:w="134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服务对象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满意度指标</w:t>
            </w:r>
          </w:p>
        </w:tc>
        <w:tc>
          <w:tcPr>
            <w:tcW w:w="206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公众满意度</w:t>
            </w:r>
          </w:p>
        </w:tc>
        <w:tc>
          <w:tcPr>
            <w:tcW w:w="142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≧98</w:t>
            </w:r>
          </w:p>
        </w:tc>
        <w:tc>
          <w:tcPr>
            <w:tcW w:w="112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≧98</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6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9</w:t>
            </w:r>
          </w:p>
        </w:tc>
        <w:tc>
          <w:tcPr>
            <w:tcW w:w="166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622" w:hRule="atLeast"/>
        </w:trPr>
        <w:tc>
          <w:tcPr>
            <w:tcW w:w="7616" w:type="dxa"/>
            <w:gridSpan w:val="7"/>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总分</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100</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color w:val="000000"/>
                <w:sz w:val="21"/>
                <w:szCs w:val="21"/>
                <w:lang w:val="en-US" w:eastAsia="zh-CN"/>
              </w:rPr>
            </w:pPr>
            <w:r>
              <w:rPr>
                <w:rFonts w:hint="eastAsia" w:ascii="宋体" w:hAnsi="宋体" w:eastAsia="宋体" w:cs="宋体"/>
                <w:b/>
                <w:color w:val="000000"/>
                <w:kern w:val="0"/>
                <w:sz w:val="21"/>
                <w:szCs w:val="21"/>
                <w:lang w:val="en-US" w:eastAsia="zh-CN" w:bidi="ar"/>
              </w:rPr>
              <w:t>98</w:t>
            </w:r>
          </w:p>
        </w:tc>
        <w:tc>
          <w:tcPr>
            <w:tcW w:w="166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r>
    </w:tbl>
    <w:p>
      <w:pPr>
        <w:rPr>
          <w:rFonts w:ascii="仿宋_GB2312" w:hAnsi="仿宋_GB2312" w:cs="仿宋_GB2312"/>
          <w:b/>
          <w:bCs/>
          <w:szCs w:val="32"/>
        </w:rPr>
      </w:pPr>
      <w:r>
        <w:rPr>
          <w:rFonts w:hint="eastAsia" w:ascii="仿宋_GB2312" w:hAnsi="仿宋_GB2312" w:cs="仿宋_GB2312"/>
          <w:b/>
          <w:bCs/>
          <w:szCs w:val="32"/>
        </w:rPr>
        <w:t>附件</w:t>
      </w:r>
      <w:r>
        <w:rPr>
          <w:rFonts w:hint="eastAsia" w:ascii="仿宋_GB2312" w:hAnsi="仿宋_GB2312" w:cs="仿宋_GB2312"/>
          <w:b/>
          <w:bCs/>
          <w:szCs w:val="32"/>
          <w:lang w:val="en-US" w:eastAsia="zh-CN"/>
        </w:rPr>
        <w:t>6</w:t>
      </w:r>
      <w:r>
        <w:rPr>
          <w:rFonts w:hint="eastAsia" w:ascii="仿宋_GB2312" w:hAnsi="仿宋_GB2312" w:cs="仿宋_GB2312"/>
          <w:b/>
          <w:bCs/>
          <w:szCs w:val="32"/>
        </w:rPr>
        <w:t>：</w:t>
      </w:r>
    </w:p>
    <w:tbl>
      <w:tblPr>
        <w:tblStyle w:val="3"/>
        <w:tblW w:w="10820" w:type="dxa"/>
        <w:tblInd w:w="0" w:type="dxa"/>
        <w:tblLayout w:type="fixed"/>
        <w:tblCellMar>
          <w:top w:w="0" w:type="dxa"/>
          <w:left w:w="0" w:type="dxa"/>
          <w:bottom w:w="0" w:type="dxa"/>
          <w:right w:w="0" w:type="dxa"/>
        </w:tblCellMar>
      </w:tblPr>
      <w:tblGrid>
        <w:gridCol w:w="518"/>
        <w:gridCol w:w="1151"/>
        <w:gridCol w:w="1357"/>
        <w:gridCol w:w="734"/>
        <w:gridCol w:w="1397"/>
        <w:gridCol w:w="1474"/>
        <w:gridCol w:w="1057"/>
        <w:gridCol w:w="790"/>
        <w:gridCol w:w="668"/>
        <w:gridCol w:w="902"/>
        <w:gridCol w:w="772"/>
      </w:tblGrid>
      <w:tr>
        <w:tblPrEx>
          <w:tblCellMar>
            <w:top w:w="0" w:type="dxa"/>
            <w:left w:w="0" w:type="dxa"/>
            <w:bottom w:w="0" w:type="dxa"/>
            <w:right w:w="0" w:type="dxa"/>
          </w:tblCellMar>
        </w:tblPrEx>
        <w:trPr>
          <w:trHeight w:val="848" w:hRule="atLeast"/>
        </w:trPr>
        <w:tc>
          <w:tcPr>
            <w:tcW w:w="10820" w:type="dxa"/>
            <w:gridSpan w:val="11"/>
            <w:tcBorders>
              <w:top w:val="nil"/>
              <w:left w:val="nil"/>
              <w:bottom w:val="nil"/>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Cs w:val="32"/>
              </w:rPr>
            </w:pPr>
            <w:r>
              <w:rPr>
                <w:rFonts w:hint="eastAsia" w:ascii="宋体" w:hAnsi="宋体" w:eastAsia="宋体" w:cs="宋体"/>
                <w:b/>
                <w:color w:val="000000"/>
                <w:kern w:val="0"/>
                <w:szCs w:val="32"/>
                <w:lang w:bidi="ar"/>
              </w:rPr>
              <w:t xml:space="preserve">项目支出绩效自评表 </w:t>
            </w:r>
          </w:p>
        </w:tc>
      </w:tr>
      <w:tr>
        <w:tblPrEx>
          <w:tblCellMar>
            <w:top w:w="0" w:type="dxa"/>
            <w:left w:w="0" w:type="dxa"/>
            <w:bottom w:w="0" w:type="dxa"/>
            <w:right w:w="0" w:type="dxa"/>
          </w:tblCellMar>
        </w:tblPrEx>
        <w:trPr>
          <w:trHeight w:val="448" w:hRule="atLeast"/>
        </w:trPr>
        <w:tc>
          <w:tcPr>
            <w:tcW w:w="10820" w:type="dxa"/>
            <w:gridSpan w:val="11"/>
            <w:tcBorders>
              <w:top w:val="nil"/>
              <w:left w:val="nil"/>
              <w:bottom w:val="single" w:color="000000" w:sz="4" w:space="0"/>
              <w:right w:val="nil"/>
            </w:tcBorders>
            <w:noWrap w:val="0"/>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w:t>
            </w:r>
            <w:r>
              <w:rPr>
                <w:rFonts w:hint="eastAsia" w:ascii="宋体" w:hAnsi="宋体" w:eastAsia="宋体" w:cs="宋体"/>
                <w:color w:val="000000"/>
                <w:kern w:val="0"/>
                <w:sz w:val="22"/>
                <w:szCs w:val="22"/>
                <w:lang w:val="en-US" w:eastAsia="zh-CN" w:bidi="ar"/>
              </w:rPr>
              <w:t>20</w:t>
            </w:r>
            <w:r>
              <w:rPr>
                <w:rFonts w:hint="eastAsia" w:ascii="宋体" w:hAnsi="宋体" w:eastAsia="宋体" w:cs="宋体"/>
                <w:color w:val="000000"/>
                <w:kern w:val="0"/>
                <w:sz w:val="22"/>
                <w:szCs w:val="22"/>
                <w:lang w:bidi="ar"/>
              </w:rPr>
              <w:t>年度）</w:t>
            </w:r>
          </w:p>
        </w:tc>
      </w:tr>
      <w:tr>
        <w:tblPrEx>
          <w:tblCellMar>
            <w:top w:w="0" w:type="dxa"/>
            <w:left w:w="0" w:type="dxa"/>
            <w:bottom w:w="0" w:type="dxa"/>
            <w:right w:w="0" w:type="dxa"/>
          </w:tblCellMar>
        </w:tblPrEx>
        <w:trPr>
          <w:trHeight w:val="687" w:hRule="atLeast"/>
        </w:trPr>
        <w:tc>
          <w:tcPr>
            <w:tcW w:w="16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9151"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学术交流项目</w:t>
            </w:r>
          </w:p>
        </w:tc>
      </w:tr>
      <w:tr>
        <w:tblPrEx>
          <w:tblCellMar>
            <w:top w:w="0" w:type="dxa"/>
            <w:left w:w="0" w:type="dxa"/>
            <w:bottom w:w="0" w:type="dxa"/>
            <w:right w:w="0" w:type="dxa"/>
          </w:tblCellMar>
        </w:tblPrEx>
        <w:trPr>
          <w:trHeight w:val="635" w:hRule="atLeast"/>
        </w:trPr>
        <w:tc>
          <w:tcPr>
            <w:tcW w:w="16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主管部门</w:t>
            </w:r>
          </w:p>
        </w:tc>
        <w:tc>
          <w:tcPr>
            <w:tcW w:w="496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蚌埠市科学技术协会</w:t>
            </w:r>
          </w:p>
        </w:tc>
        <w:tc>
          <w:tcPr>
            <w:tcW w:w="10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实施单位</w:t>
            </w:r>
          </w:p>
        </w:tc>
        <w:tc>
          <w:tcPr>
            <w:tcW w:w="313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科协</w:t>
            </w:r>
            <w:r>
              <w:rPr>
                <w:rFonts w:hint="eastAsia" w:ascii="宋体" w:hAnsi="宋体" w:eastAsia="宋体" w:cs="宋体"/>
                <w:color w:val="000000"/>
                <w:kern w:val="0"/>
                <w:sz w:val="21"/>
                <w:szCs w:val="21"/>
                <w:lang w:eastAsia="zh-CN" w:bidi="ar"/>
              </w:rPr>
              <w:t>学会</w:t>
            </w:r>
            <w:r>
              <w:rPr>
                <w:rFonts w:hint="eastAsia" w:ascii="宋体" w:hAnsi="宋体" w:eastAsia="宋体" w:cs="宋体"/>
                <w:color w:val="000000"/>
                <w:kern w:val="0"/>
                <w:sz w:val="21"/>
                <w:szCs w:val="21"/>
                <w:lang w:bidi="ar"/>
              </w:rPr>
              <w:t>部</w:t>
            </w:r>
          </w:p>
        </w:tc>
      </w:tr>
      <w:tr>
        <w:tblPrEx>
          <w:tblCellMar>
            <w:top w:w="0" w:type="dxa"/>
            <w:left w:w="0" w:type="dxa"/>
            <w:bottom w:w="0" w:type="dxa"/>
            <w:right w:w="0" w:type="dxa"/>
          </w:tblCellMar>
        </w:tblPrEx>
        <w:trPr>
          <w:trHeight w:val="612" w:hRule="atLeast"/>
        </w:trPr>
        <w:tc>
          <w:tcPr>
            <w:tcW w:w="166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项目资金</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（万元）</w:t>
            </w:r>
          </w:p>
        </w:tc>
        <w:tc>
          <w:tcPr>
            <w:tcW w:w="20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397"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年初预算数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（A）</w:t>
            </w:r>
          </w:p>
        </w:tc>
        <w:tc>
          <w:tcPr>
            <w:tcW w:w="147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全年预算数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w:t>
            </w:r>
          </w:p>
        </w:tc>
        <w:tc>
          <w:tcPr>
            <w:tcW w:w="18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全年执行数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（C）</w:t>
            </w:r>
          </w:p>
        </w:tc>
        <w:tc>
          <w:tcPr>
            <w:tcW w:w="66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执行率（C/</w:t>
            </w:r>
            <w:r>
              <w:rPr>
                <w:rStyle w:val="5"/>
                <w:rFonts w:hint="default"/>
                <w:sz w:val="21"/>
                <w:szCs w:val="21"/>
                <w:lang w:bidi="ar"/>
              </w:rPr>
              <w:t>B)</w:t>
            </w:r>
          </w:p>
        </w:tc>
        <w:tc>
          <w:tcPr>
            <w:tcW w:w="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得分</w:t>
            </w:r>
          </w:p>
        </w:tc>
      </w:tr>
      <w:tr>
        <w:tblPrEx>
          <w:tblCellMar>
            <w:top w:w="0" w:type="dxa"/>
            <w:left w:w="0" w:type="dxa"/>
            <w:bottom w:w="0" w:type="dxa"/>
            <w:right w:w="0" w:type="dxa"/>
          </w:tblCellMar>
        </w:tblPrEx>
        <w:trPr>
          <w:trHeight w:val="351" w:hRule="atLeast"/>
        </w:trPr>
        <w:tc>
          <w:tcPr>
            <w:tcW w:w="166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年度资金总额：</w:t>
            </w:r>
          </w:p>
        </w:tc>
        <w:tc>
          <w:tcPr>
            <w:tcW w:w="1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8.8</w:t>
            </w:r>
          </w:p>
        </w:tc>
        <w:tc>
          <w:tcPr>
            <w:tcW w:w="1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8.8</w:t>
            </w:r>
          </w:p>
        </w:tc>
        <w:tc>
          <w:tcPr>
            <w:tcW w:w="18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8.8</w:t>
            </w:r>
          </w:p>
        </w:tc>
        <w:tc>
          <w:tcPr>
            <w:tcW w:w="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c>
          <w:tcPr>
            <w:tcW w:w="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7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r>
      <w:tr>
        <w:tblPrEx>
          <w:tblCellMar>
            <w:top w:w="0" w:type="dxa"/>
            <w:left w:w="0" w:type="dxa"/>
            <w:bottom w:w="0" w:type="dxa"/>
            <w:right w:w="0" w:type="dxa"/>
          </w:tblCellMar>
        </w:tblPrEx>
        <w:trPr>
          <w:trHeight w:val="351" w:hRule="atLeast"/>
        </w:trPr>
        <w:tc>
          <w:tcPr>
            <w:tcW w:w="166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其中：当年财政拨款</w:t>
            </w:r>
          </w:p>
        </w:tc>
        <w:tc>
          <w:tcPr>
            <w:tcW w:w="1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8.8</w:t>
            </w:r>
          </w:p>
        </w:tc>
        <w:tc>
          <w:tcPr>
            <w:tcW w:w="1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8.8</w:t>
            </w:r>
          </w:p>
        </w:tc>
        <w:tc>
          <w:tcPr>
            <w:tcW w:w="18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8.8</w:t>
            </w:r>
          </w:p>
        </w:tc>
        <w:tc>
          <w:tcPr>
            <w:tcW w:w="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c>
          <w:tcPr>
            <w:tcW w:w="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51" w:hRule="atLeast"/>
        </w:trPr>
        <w:tc>
          <w:tcPr>
            <w:tcW w:w="166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上年结转资金</w:t>
            </w:r>
          </w:p>
        </w:tc>
        <w:tc>
          <w:tcPr>
            <w:tcW w:w="1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8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trHeight w:val="351" w:hRule="atLeast"/>
        </w:trPr>
        <w:tc>
          <w:tcPr>
            <w:tcW w:w="166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其他资金</w:t>
            </w:r>
          </w:p>
        </w:tc>
        <w:tc>
          <w:tcPr>
            <w:tcW w:w="1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8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trHeight w:val="482" w:hRule="atLeast"/>
        </w:trPr>
        <w:tc>
          <w:tcPr>
            <w:tcW w:w="5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年度总体目标完成情况</w:t>
            </w:r>
          </w:p>
        </w:tc>
        <w:tc>
          <w:tcPr>
            <w:tcW w:w="6113"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预期目标</w:t>
            </w:r>
          </w:p>
        </w:tc>
        <w:tc>
          <w:tcPr>
            <w:tcW w:w="4189"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实际完成情况</w:t>
            </w:r>
          </w:p>
        </w:tc>
      </w:tr>
      <w:tr>
        <w:tblPrEx>
          <w:tblCellMar>
            <w:top w:w="0" w:type="dxa"/>
            <w:left w:w="0" w:type="dxa"/>
            <w:bottom w:w="0" w:type="dxa"/>
            <w:right w:w="0" w:type="dxa"/>
          </w:tblCellMar>
        </w:tblPrEx>
        <w:trPr>
          <w:trHeight w:val="1509" w:hRule="atLeast"/>
        </w:trPr>
        <w:tc>
          <w:tcPr>
            <w:tcW w:w="5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6113"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总体目标：搭建学术交流平台，举办年会，收集整理汇编建议。</w:t>
            </w:r>
          </w:p>
        </w:tc>
        <w:tc>
          <w:tcPr>
            <w:tcW w:w="4189"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已完成</w:t>
            </w:r>
          </w:p>
        </w:tc>
      </w:tr>
      <w:tr>
        <w:tblPrEx>
          <w:tblCellMar>
            <w:top w:w="0" w:type="dxa"/>
            <w:left w:w="0" w:type="dxa"/>
            <w:bottom w:w="0" w:type="dxa"/>
            <w:right w:w="0" w:type="dxa"/>
          </w:tblCellMar>
        </w:tblPrEx>
        <w:trPr>
          <w:trHeight w:val="882" w:hRule="atLeast"/>
        </w:trPr>
        <w:tc>
          <w:tcPr>
            <w:tcW w:w="5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16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度</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绩</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效</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完</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成</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情</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况</w:t>
            </w:r>
          </w:p>
        </w:tc>
        <w:tc>
          <w:tcPr>
            <w:tcW w:w="115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一级指标</w:t>
            </w:r>
          </w:p>
        </w:tc>
        <w:tc>
          <w:tcPr>
            <w:tcW w:w="135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二级指标</w:t>
            </w:r>
          </w:p>
        </w:tc>
        <w:tc>
          <w:tcPr>
            <w:tcW w:w="2131"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三级指标</w:t>
            </w:r>
          </w:p>
        </w:tc>
        <w:tc>
          <w:tcPr>
            <w:tcW w:w="147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年度指标值</w:t>
            </w:r>
          </w:p>
        </w:tc>
        <w:tc>
          <w:tcPr>
            <w:tcW w:w="105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实际</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完成值</w:t>
            </w:r>
          </w:p>
        </w:tc>
        <w:tc>
          <w:tcPr>
            <w:tcW w:w="7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66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得分</w:t>
            </w:r>
          </w:p>
        </w:tc>
        <w:tc>
          <w:tcPr>
            <w:tcW w:w="1674"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偏差原因分析</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和改进措施</w:t>
            </w:r>
          </w:p>
        </w:tc>
      </w:tr>
      <w:tr>
        <w:tblPrEx>
          <w:tblCellMar>
            <w:top w:w="0" w:type="dxa"/>
            <w:left w:w="0" w:type="dxa"/>
            <w:bottom w:w="0" w:type="dxa"/>
            <w:right w:w="0" w:type="dxa"/>
          </w:tblCellMar>
        </w:tblPrEx>
        <w:trPr>
          <w:trHeight w:val="734" w:hRule="atLeast"/>
        </w:trPr>
        <w:tc>
          <w:tcPr>
            <w:tcW w:w="518"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5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（50分）</w:t>
            </w:r>
          </w:p>
        </w:tc>
        <w:tc>
          <w:tcPr>
            <w:tcW w:w="135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数量指标</w:t>
            </w:r>
          </w:p>
        </w:tc>
        <w:tc>
          <w:tcPr>
            <w:tcW w:w="213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设立学会专家工作站</w:t>
            </w:r>
          </w:p>
        </w:tc>
        <w:tc>
          <w:tcPr>
            <w:tcW w:w="14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≥5家</w:t>
            </w:r>
          </w:p>
        </w:tc>
        <w:tc>
          <w:tcPr>
            <w:tcW w:w="10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5家</w:t>
            </w:r>
          </w:p>
        </w:tc>
        <w:tc>
          <w:tcPr>
            <w:tcW w:w="7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67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888" w:hRule="atLeast"/>
        </w:trPr>
        <w:tc>
          <w:tcPr>
            <w:tcW w:w="518"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5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13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服务企业技术升级</w:t>
            </w:r>
          </w:p>
        </w:tc>
        <w:tc>
          <w:tcPr>
            <w:tcW w:w="14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≥10次</w:t>
            </w:r>
          </w:p>
        </w:tc>
        <w:tc>
          <w:tcPr>
            <w:tcW w:w="10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10次</w:t>
            </w:r>
          </w:p>
        </w:tc>
        <w:tc>
          <w:tcPr>
            <w:tcW w:w="7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67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sz w:val="18"/>
                <w:szCs w:val="18"/>
              </w:rPr>
            </w:pPr>
          </w:p>
        </w:tc>
      </w:tr>
      <w:tr>
        <w:tblPrEx>
          <w:tblCellMar>
            <w:top w:w="0" w:type="dxa"/>
            <w:left w:w="0" w:type="dxa"/>
            <w:bottom w:w="0" w:type="dxa"/>
            <w:right w:w="0" w:type="dxa"/>
          </w:tblCellMar>
        </w:tblPrEx>
        <w:trPr>
          <w:trHeight w:val="482" w:hRule="atLeast"/>
        </w:trPr>
        <w:tc>
          <w:tcPr>
            <w:tcW w:w="518"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5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质量指标</w:t>
            </w:r>
          </w:p>
        </w:tc>
        <w:tc>
          <w:tcPr>
            <w:tcW w:w="213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项目执行率</w:t>
            </w:r>
          </w:p>
        </w:tc>
        <w:tc>
          <w:tcPr>
            <w:tcW w:w="14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100%</w:t>
            </w:r>
          </w:p>
        </w:tc>
        <w:tc>
          <w:tcPr>
            <w:tcW w:w="10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100%</w:t>
            </w:r>
          </w:p>
        </w:tc>
        <w:tc>
          <w:tcPr>
            <w:tcW w:w="7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67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sz w:val="18"/>
                <w:szCs w:val="18"/>
              </w:rPr>
            </w:pPr>
          </w:p>
        </w:tc>
      </w:tr>
      <w:tr>
        <w:tblPrEx>
          <w:tblCellMar>
            <w:top w:w="0" w:type="dxa"/>
            <w:left w:w="0" w:type="dxa"/>
            <w:bottom w:w="0" w:type="dxa"/>
            <w:right w:w="0" w:type="dxa"/>
          </w:tblCellMar>
        </w:tblPrEx>
        <w:trPr>
          <w:trHeight w:val="722" w:hRule="atLeast"/>
        </w:trPr>
        <w:tc>
          <w:tcPr>
            <w:tcW w:w="518"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5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13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经费支出合规性</w:t>
            </w:r>
          </w:p>
        </w:tc>
        <w:tc>
          <w:tcPr>
            <w:tcW w:w="14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严格执行相关财经法规、制度</w:t>
            </w:r>
          </w:p>
        </w:tc>
        <w:tc>
          <w:tcPr>
            <w:tcW w:w="10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7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6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167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sz w:val="18"/>
                <w:szCs w:val="18"/>
              </w:rPr>
            </w:pPr>
          </w:p>
        </w:tc>
      </w:tr>
      <w:tr>
        <w:tblPrEx>
          <w:tblCellMar>
            <w:top w:w="0" w:type="dxa"/>
            <w:left w:w="0" w:type="dxa"/>
            <w:bottom w:w="0" w:type="dxa"/>
            <w:right w:w="0" w:type="dxa"/>
          </w:tblCellMar>
        </w:tblPrEx>
        <w:trPr>
          <w:trHeight w:val="482" w:hRule="atLeast"/>
        </w:trPr>
        <w:tc>
          <w:tcPr>
            <w:tcW w:w="518"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51"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（30分）</w:t>
            </w:r>
          </w:p>
        </w:tc>
        <w:tc>
          <w:tcPr>
            <w:tcW w:w="13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时效指标</w:t>
            </w:r>
          </w:p>
        </w:tc>
        <w:tc>
          <w:tcPr>
            <w:tcW w:w="213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年度计划完成情况</w:t>
            </w:r>
          </w:p>
        </w:tc>
        <w:tc>
          <w:tcPr>
            <w:tcW w:w="14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按计划完成</w:t>
            </w:r>
          </w:p>
        </w:tc>
        <w:tc>
          <w:tcPr>
            <w:tcW w:w="10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按计划完成</w:t>
            </w:r>
          </w:p>
        </w:tc>
        <w:tc>
          <w:tcPr>
            <w:tcW w:w="7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10</w:t>
            </w:r>
          </w:p>
        </w:tc>
        <w:tc>
          <w:tcPr>
            <w:tcW w:w="6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10</w:t>
            </w:r>
          </w:p>
        </w:tc>
        <w:tc>
          <w:tcPr>
            <w:tcW w:w="167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1269" w:hRule="atLeast"/>
        </w:trPr>
        <w:tc>
          <w:tcPr>
            <w:tcW w:w="518"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51"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经济效益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tc>
        <w:tc>
          <w:tcPr>
            <w:tcW w:w="213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帮助企业创造效益</w:t>
            </w:r>
          </w:p>
        </w:tc>
        <w:tc>
          <w:tcPr>
            <w:tcW w:w="14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不断提高</w:t>
            </w:r>
          </w:p>
        </w:tc>
        <w:tc>
          <w:tcPr>
            <w:tcW w:w="10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不断提高</w:t>
            </w:r>
          </w:p>
        </w:tc>
        <w:tc>
          <w:tcPr>
            <w:tcW w:w="7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20</w:t>
            </w:r>
          </w:p>
        </w:tc>
        <w:tc>
          <w:tcPr>
            <w:tcW w:w="6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20</w:t>
            </w:r>
          </w:p>
        </w:tc>
        <w:tc>
          <w:tcPr>
            <w:tcW w:w="167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882" w:hRule="atLeast"/>
        </w:trPr>
        <w:tc>
          <w:tcPr>
            <w:tcW w:w="518"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51"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p>
        </w:tc>
        <w:tc>
          <w:tcPr>
            <w:tcW w:w="13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可持续影响指标</w:t>
            </w:r>
          </w:p>
        </w:tc>
        <w:tc>
          <w:tcPr>
            <w:tcW w:w="213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帮助企业提升创新产品</w:t>
            </w:r>
          </w:p>
        </w:tc>
        <w:tc>
          <w:tcPr>
            <w:tcW w:w="14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不断提高</w:t>
            </w:r>
          </w:p>
        </w:tc>
        <w:tc>
          <w:tcPr>
            <w:tcW w:w="10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不断提高</w:t>
            </w:r>
          </w:p>
        </w:tc>
        <w:tc>
          <w:tcPr>
            <w:tcW w:w="7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w:t>
            </w:r>
          </w:p>
        </w:tc>
        <w:tc>
          <w:tcPr>
            <w:tcW w:w="167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进一步提高帮助力度</w:t>
            </w:r>
          </w:p>
        </w:tc>
      </w:tr>
      <w:tr>
        <w:tblPrEx>
          <w:tblCellMar>
            <w:top w:w="0" w:type="dxa"/>
            <w:left w:w="0" w:type="dxa"/>
            <w:bottom w:w="0" w:type="dxa"/>
            <w:right w:w="0" w:type="dxa"/>
          </w:tblCellMar>
        </w:tblPrEx>
        <w:trPr>
          <w:trHeight w:val="882" w:hRule="atLeast"/>
        </w:trPr>
        <w:tc>
          <w:tcPr>
            <w:tcW w:w="51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满意度指标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（10分）</w:t>
            </w:r>
          </w:p>
        </w:tc>
        <w:tc>
          <w:tcPr>
            <w:tcW w:w="13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服务对象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满意度指标</w:t>
            </w:r>
          </w:p>
        </w:tc>
        <w:tc>
          <w:tcPr>
            <w:tcW w:w="213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公众满意度</w:t>
            </w:r>
          </w:p>
        </w:tc>
        <w:tc>
          <w:tcPr>
            <w:tcW w:w="14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≧98</w:t>
            </w:r>
          </w:p>
        </w:tc>
        <w:tc>
          <w:tcPr>
            <w:tcW w:w="10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≧98</w:t>
            </w:r>
          </w:p>
        </w:tc>
        <w:tc>
          <w:tcPr>
            <w:tcW w:w="7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6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9</w:t>
            </w:r>
          </w:p>
        </w:tc>
        <w:tc>
          <w:tcPr>
            <w:tcW w:w="167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637" w:hRule="atLeast"/>
        </w:trPr>
        <w:tc>
          <w:tcPr>
            <w:tcW w:w="7688" w:type="dxa"/>
            <w:gridSpan w:val="7"/>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总分</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100</w:t>
            </w:r>
          </w:p>
        </w:tc>
        <w:tc>
          <w:tcPr>
            <w:tcW w:w="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color w:val="000000"/>
                <w:sz w:val="21"/>
                <w:szCs w:val="21"/>
                <w:lang w:val="en-US" w:eastAsia="zh-CN"/>
              </w:rPr>
            </w:pPr>
            <w:r>
              <w:rPr>
                <w:rFonts w:hint="eastAsia" w:ascii="宋体" w:hAnsi="宋体" w:eastAsia="宋体" w:cs="宋体"/>
                <w:b/>
                <w:color w:val="000000"/>
                <w:kern w:val="0"/>
                <w:sz w:val="21"/>
                <w:szCs w:val="21"/>
                <w:lang w:val="en-US" w:eastAsia="zh-CN" w:bidi="ar"/>
              </w:rPr>
              <w:t>98</w:t>
            </w:r>
          </w:p>
        </w:tc>
        <w:tc>
          <w:tcPr>
            <w:tcW w:w="16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r>
    </w:tbl>
    <w:p>
      <w:pPr>
        <w:rPr>
          <w:rFonts w:ascii="仿宋_GB2312" w:hAnsi="仿宋_GB2312" w:cs="仿宋_GB2312"/>
          <w:b/>
          <w:bCs/>
          <w:szCs w:val="32"/>
        </w:rPr>
      </w:pPr>
      <w:r>
        <w:rPr>
          <w:rFonts w:hint="eastAsia" w:ascii="仿宋_GB2312" w:hAnsi="仿宋_GB2312" w:cs="仿宋_GB2312"/>
          <w:b/>
          <w:bCs/>
          <w:szCs w:val="32"/>
        </w:rPr>
        <w:t>附件</w:t>
      </w:r>
      <w:r>
        <w:rPr>
          <w:rFonts w:hint="eastAsia" w:ascii="仿宋_GB2312" w:hAnsi="仿宋_GB2312" w:cs="仿宋_GB2312"/>
          <w:b/>
          <w:bCs/>
          <w:szCs w:val="32"/>
          <w:lang w:val="en-US" w:eastAsia="zh-CN"/>
        </w:rPr>
        <w:t>7</w:t>
      </w:r>
      <w:r>
        <w:rPr>
          <w:rFonts w:hint="eastAsia" w:ascii="仿宋_GB2312" w:hAnsi="仿宋_GB2312" w:cs="仿宋_GB2312"/>
          <w:b/>
          <w:bCs/>
          <w:szCs w:val="32"/>
        </w:rPr>
        <w:t>：</w:t>
      </w:r>
    </w:p>
    <w:tbl>
      <w:tblPr>
        <w:tblStyle w:val="3"/>
        <w:tblW w:w="10820" w:type="dxa"/>
        <w:tblInd w:w="0" w:type="dxa"/>
        <w:tblLayout w:type="fixed"/>
        <w:tblCellMar>
          <w:top w:w="0" w:type="dxa"/>
          <w:left w:w="0" w:type="dxa"/>
          <w:bottom w:w="0" w:type="dxa"/>
          <w:right w:w="0" w:type="dxa"/>
        </w:tblCellMar>
      </w:tblPr>
      <w:tblGrid>
        <w:gridCol w:w="510"/>
        <w:gridCol w:w="1143"/>
        <w:gridCol w:w="1343"/>
        <w:gridCol w:w="622"/>
        <w:gridCol w:w="1272"/>
        <w:gridCol w:w="1600"/>
        <w:gridCol w:w="1127"/>
        <w:gridCol w:w="660"/>
        <w:gridCol w:w="660"/>
        <w:gridCol w:w="1014"/>
        <w:gridCol w:w="869"/>
      </w:tblGrid>
      <w:tr>
        <w:tblPrEx>
          <w:tblCellMar>
            <w:top w:w="0" w:type="dxa"/>
            <w:left w:w="0" w:type="dxa"/>
            <w:bottom w:w="0" w:type="dxa"/>
            <w:right w:w="0" w:type="dxa"/>
          </w:tblCellMar>
        </w:tblPrEx>
        <w:trPr>
          <w:trHeight w:val="677" w:hRule="atLeast"/>
        </w:trPr>
        <w:tc>
          <w:tcPr>
            <w:tcW w:w="10820" w:type="dxa"/>
            <w:gridSpan w:val="11"/>
            <w:tcBorders>
              <w:top w:val="nil"/>
              <w:left w:val="nil"/>
              <w:bottom w:val="nil"/>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Cs w:val="32"/>
              </w:rPr>
            </w:pPr>
            <w:r>
              <w:rPr>
                <w:rFonts w:hint="eastAsia" w:ascii="宋体" w:hAnsi="宋体" w:eastAsia="宋体" w:cs="宋体"/>
                <w:b/>
                <w:color w:val="000000"/>
                <w:kern w:val="0"/>
                <w:szCs w:val="32"/>
                <w:lang w:bidi="ar"/>
              </w:rPr>
              <w:t xml:space="preserve">项目支出绩效自评表 </w:t>
            </w:r>
          </w:p>
        </w:tc>
      </w:tr>
      <w:tr>
        <w:tblPrEx>
          <w:tblCellMar>
            <w:top w:w="0" w:type="dxa"/>
            <w:left w:w="0" w:type="dxa"/>
            <w:bottom w:w="0" w:type="dxa"/>
            <w:right w:w="0" w:type="dxa"/>
          </w:tblCellMar>
        </w:tblPrEx>
        <w:trPr>
          <w:trHeight w:val="367" w:hRule="atLeast"/>
        </w:trPr>
        <w:tc>
          <w:tcPr>
            <w:tcW w:w="10820" w:type="dxa"/>
            <w:gridSpan w:val="11"/>
            <w:tcBorders>
              <w:top w:val="nil"/>
              <w:left w:val="nil"/>
              <w:bottom w:val="single" w:color="000000" w:sz="4" w:space="0"/>
              <w:right w:val="nil"/>
            </w:tcBorders>
            <w:noWrap w:val="0"/>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w:t>
            </w:r>
            <w:r>
              <w:rPr>
                <w:rFonts w:hint="eastAsia" w:ascii="宋体" w:hAnsi="宋体" w:eastAsia="宋体" w:cs="宋体"/>
                <w:color w:val="000000"/>
                <w:kern w:val="0"/>
                <w:sz w:val="22"/>
                <w:szCs w:val="22"/>
                <w:lang w:val="en-US" w:eastAsia="zh-CN" w:bidi="ar"/>
              </w:rPr>
              <w:t>20</w:t>
            </w:r>
            <w:r>
              <w:rPr>
                <w:rFonts w:hint="eastAsia" w:ascii="宋体" w:hAnsi="宋体" w:eastAsia="宋体" w:cs="宋体"/>
                <w:color w:val="000000"/>
                <w:kern w:val="0"/>
                <w:sz w:val="22"/>
                <w:szCs w:val="22"/>
                <w:lang w:bidi="ar"/>
              </w:rPr>
              <w:t>年度）</w:t>
            </w:r>
          </w:p>
        </w:tc>
      </w:tr>
      <w:tr>
        <w:tblPrEx>
          <w:tblCellMar>
            <w:top w:w="0" w:type="dxa"/>
            <w:left w:w="0" w:type="dxa"/>
            <w:bottom w:w="0" w:type="dxa"/>
            <w:right w:w="0" w:type="dxa"/>
          </w:tblCellMar>
        </w:tblPrEx>
        <w:trPr>
          <w:trHeight w:val="406" w:hRule="atLeast"/>
        </w:trPr>
        <w:tc>
          <w:tcPr>
            <w:tcW w:w="165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9167"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青少年科技活动</w:t>
            </w:r>
            <w:r>
              <w:rPr>
                <w:rFonts w:hint="eastAsia" w:ascii="宋体" w:hAnsi="宋体" w:eastAsia="宋体" w:cs="宋体"/>
                <w:color w:val="000000"/>
                <w:sz w:val="21"/>
                <w:szCs w:val="21"/>
                <w:lang w:eastAsia="zh-CN"/>
              </w:rPr>
              <w:t>项目</w:t>
            </w:r>
          </w:p>
        </w:tc>
      </w:tr>
      <w:tr>
        <w:tblPrEx>
          <w:tblCellMar>
            <w:top w:w="0" w:type="dxa"/>
            <w:left w:w="0" w:type="dxa"/>
            <w:bottom w:w="0" w:type="dxa"/>
            <w:right w:w="0" w:type="dxa"/>
          </w:tblCellMar>
        </w:tblPrEx>
        <w:trPr>
          <w:trHeight w:val="406" w:hRule="atLeast"/>
        </w:trPr>
        <w:tc>
          <w:tcPr>
            <w:tcW w:w="165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主管部门</w:t>
            </w:r>
          </w:p>
        </w:tc>
        <w:tc>
          <w:tcPr>
            <w:tcW w:w="483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蚌埠市科学技术协会</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实施单位</w:t>
            </w:r>
          </w:p>
        </w:tc>
        <w:tc>
          <w:tcPr>
            <w:tcW w:w="320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科协</w:t>
            </w:r>
            <w:r>
              <w:rPr>
                <w:rFonts w:hint="eastAsia" w:ascii="宋体" w:hAnsi="宋体" w:eastAsia="宋体" w:cs="宋体"/>
                <w:color w:val="000000"/>
                <w:kern w:val="0"/>
                <w:sz w:val="21"/>
                <w:szCs w:val="21"/>
                <w:lang w:eastAsia="zh-CN" w:bidi="ar"/>
              </w:rPr>
              <w:t>青少</w:t>
            </w:r>
            <w:r>
              <w:rPr>
                <w:rFonts w:hint="eastAsia" w:ascii="宋体" w:hAnsi="宋体" w:eastAsia="宋体" w:cs="宋体"/>
                <w:color w:val="000000"/>
                <w:kern w:val="0"/>
                <w:sz w:val="21"/>
                <w:szCs w:val="21"/>
                <w:lang w:bidi="ar"/>
              </w:rPr>
              <w:t>部</w:t>
            </w:r>
          </w:p>
        </w:tc>
      </w:tr>
      <w:tr>
        <w:tblPrEx>
          <w:tblCellMar>
            <w:top w:w="0" w:type="dxa"/>
            <w:left w:w="0" w:type="dxa"/>
            <w:bottom w:w="0" w:type="dxa"/>
            <w:right w:w="0" w:type="dxa"/>
          </w:tblCellMar>
        </w:tblPrEx>
        <w:trPr>
          <w:trHeight w:val="481" w:hRule="atLeast"/>
        </w:trPr>
        <w:tc>
          <w:tcPr>
            <w:tcW w:w="165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项目资金</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（万元）</w:t>
            </w:r>
          </w:p>
        </w:tc>
        <w:tc>
          <w:tcPr>
            <w:tcW w:w="19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27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年初预算数（A）</w:t>
            </w:r>
          </w:p>
        </w:tc>
        <w:tc>
          <w:tcPr>
            <w:tcW w:w="160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全年预算数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w:t>
            </w:r>
          </w:p>
        </w:tc>
        <w:tc>
          <w:tcPr>
            <w:tcW w:w="17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全年执行数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（C）</w:t>
            </w:r>
          </w:p>
        </w:tc>
        <w:tc>
          <w:tcPr>
            <w:tcW w:w="66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执行率（C/</w:t>
            </w:r>
            <w:r>
              <w:rPr>
                <w:rStyle w:val="5"/>
                <w:rFonts w:hint="default"/>
                <w:sz w:val="21"/>
                <w:szCs w:val="21"/>
                <w:lang w:bidi="ar"/>
              </w:rPr>
              <w:t>B)</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得分</w:t>
            </w:r>
          </w:p>
        </w:tc>
      </w:tr>
      <w:tr>
        <w:tblPrEx>
          <w:tblCellMar>
            <w:top w:w="0" w:type="dxa"/>
            <w:left w:w="0" w:type="dxa"/>
            <w:bottom w:w="0" w:type="dxa"/>
            <w:right w:w="0" w:type="dxa"/>
          </w:tblCellMar>
        </w:tblPrEx>
        <w:trPr>
          <w:trHeight w:val="379" w:hRule="atLeast"/>
        </w:trPr>
        <w:tc>
          <w:tcPr>
            <w:tcW w:w="165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9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年度资金总额：</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10</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10</w:t>
            </w:r>
          </w:p>
        </w:tc>
        <w:tc>
          <w:tcPr>
            <w:tcW w:w="17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10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r>
      <w:tr>
        <w:tblPrEx>
          <w:tblCellMar>
            <w:top w:w="0" w:type="dxa"/>
            <w:left w:w="0" w:type="dxa"/>
            <w:bottom w:w="0" w:type="dxa"/>
            <w:right w:w="0" w:type="dxa"/>
          </w:tblCellMar>
        </w:tblPrEx>
        <w:trPr>
          <w:trHeight w:val="379" w:hRule="atLeast"/>
        </w:trPr>
        <w:tc>
          <w:tcPr>
            <w:tcW w:w="165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9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其中：当年财政拨款</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10</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10</w:t>
            </w:r>
          </w:p>
        </w:tc>
        <w:tc>
          <w:tcPr>
            <w:tcW w:w="17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10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79" w:hRule="atLeast"/>
        </w:trPr>
        <w:tc>
          <w:tcPr>
            <w:tcW w:w="165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9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上年结转资金</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7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trHeight w:val="379" w:hRule="atLeast"/>
        </w:trPr>
        <w:tc>
          <w:tcPr>
            <w:tcW w:w="165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9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其他资金</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7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trHeight w:val="406" w:hRule="atLeast"/>
        </w:trPr>
        <w:tc>
          <w:tcPr>
            <w:tcW w:w="5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年度总体目标完成情况</w:t>
            </w:r>
          </w:p>
        </w:tc>
        <w:tc>
          <w:tcPr>
            <w:tcW w:w="598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预期目标</w:t>
            </w:r>
          </w:p>
        </w:tc>
        <w:tc>
          <w:tcPr>
            <w:tcW w:w="433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实际完成情况</w:t>
            </w:r>
          </w:p>
        </w:tc>
      </w:tr>
      <w:tr>
        <w:tblPrEx>
          <w:tblCellMar>
            <w:top w:w="0" w:type="dxa"/>
            <w:left w:w="0" w:type="dxa"/>
            <w:bottom w:w="0" w:type="dxa"/>
            <w:right w:w="0" w:type="dxa"/>
          </w:tblCellMar>
        </w:tblPrEx>
        <w:trPr>
          <w:trHeight w:val="1878" w:hRule="atLeast"/>
        </w:trPr>
        <w:tc>
          <w:tcPr>
            <w:tcW w:w="5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598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总体目标：该项目旨在培养青少年科学兴趣和爱好。具体工作是负责制定青少年教育工作的规划、计划、组织、协调；指导全市及基层单位开展青少年科技活动；培养科技辅导员；组织青少年科技创新大赛；青少年机器人竞赛；组织开展“大手拉小手”科普报告团安徽行等活动。</w:t>
            </w:r>
          </w:p>
        </w:tc>
        <w:tc>
          <w:tcPr>
            <w:tcW w:w="433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1.提高了青少年科学素质和综合技能，推动了我市素质教育发展；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2.通过开展形式多样的青少年科普活动，贯彻落实了《全民科学素质行动计划纲要》，提高了未成年人的科学素质。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18"/>
                <w:szCs w:val="18"/>
                <w:lang w:bidi="ar"/>
              </w:rPr>
              <w:t>3.提高了我市科技辅导员的创新意识和业务能力，促进了我市青少年科技竞赛水平的提高。</w:t>
            </w:r>
          </w:p>
        </w:tc>
      </w:tr>
      <w:tr>
        <w:tblPrEx>
          <w:tblCellMar>
            <w:top w:w="0" w:type="dxa"/>
            <w:left w:w="0" w:type="dxa"/>
            <w:bottom w:w="0" w:type="dxa"/>
            <w:right w:w="0" w:type="dxa"/>
          </w:tblCellMar>
        </w:tblPrEx>
        <w:trPr>
          <w:trHeight w:val="716" w:hRule="atLeast"/>
        </w:trPr>
        <w:tc>
          <w:tcPr>
            <w:tcW w:w="510" w:type="dxa"/>
            <w:vMerge w:val="restart"/>
            <w:tcBorders>
              <w:top w:val="single" w:color="000000" w:sz="4" w:space="0"/>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16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度</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绩</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效</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完</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成</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情</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况</w:t>
            </w:r>
          </w:p>
        </w:tc>
        <w:tc>
          <w:tcPr>
            <w:tcW w:w="114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一级指标</w:t>
            </w:r>
          </w:p>
        </w:tc>
        <w:tc>
          <w:tcPr>
            <w:tcW w:w="134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二级指标</w:t>
            </w:r>
          </w:p>
        </w:tc>
        <w:tc>
          <w:tcPr>
            <w:tcW w:w="1894"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三级指标</w:t>
            </w:r>
          </w:p>
        </w:tc>
        <w:tc>
          <w:tcPr>
            <w:tcW w:w="16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年度指标值</w:t>
            </w:r>
          </w:p>
        </w:tc>
        <w:tc>
          <w:tcPr>
            <w:tcW w:w="112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实际</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完成值</w:t>
            </w:r>
          </w:p>
        </w:tc>
        <w:tc>
          <w:tcPr>
            <w:tcW w:w="66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66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得分</w:t>
            </w:r>
          </w:p>
        </w:tc>
        <w:tc>
          <w:tcPr>
            <w:tcW w:w="1883"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偏差原因分析</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和改进措施</w:t>
            </w:r>
          </w:p>
        </w:tc>
      </w:tr>
      <w:tr>
        <w:tblPrEx>
          <w:tblCellMar>
            <w:top w:w="0" w:type="dxa"/>
            <w:left w:w="0" w:type="dxa"/>
            <w:bottom w:w="0" w:type="dxa"/>
            <w:right w:w="0" w:type="dxa"/>
          </w:tblCellMar>
        </w:tblPrEx>
        <w:trPr>
          <w:trHeight w:val="716" w:hRule="atLeast"/>
        </w:trPr>
        <w:tc>
          <w:tcPr>
            <w:tcW w:w="510"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（50分）</w:t>
            </w:r>
          </w:p>
        </w:tc>
        <w:tc>
          <w:tcPr>
            <w:tcW w:w="13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数量指标</w:t>
            </w: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举办市级青少年科技活动</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≥30场次</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33场次</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716" w:hRule="atLeast"/>
        </w:trPr>
        <w:tc>
          <w:tcPr>
            <w:tcW w:w="510"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4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rPr>
                <w:rFonts w:hint="eastAsia" w:ascii="宋体" w:hAnsi="宋体" w:eastAsia="宋体" w:cs="宋体"/>
                <w:color w:val="000000"/>
                <w:sz w:val="18"/>
                <w:szCs w:val="18"/>
              </w:rPr>
            </w:pP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组织参加省级青少年科技活动</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≥15场次</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12场次</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4.8</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sz w:val="18"/>
                <w:szCs w:val="18"/>
              </w:rPr>
            </w:pPr>
            <w:r>
              <w:rPr>
                <w:rFonts w:hint="eastAsia" w:ascii="宋体" w:hAnsi="宋体" w:eastAsia="宋体" w:cs="宋体"/>
                <w:i w:val="0"/>
                <w:color w:val="000000"/>
                <w:kern w:val="0"/>
                <w:sz w:val="18"/>
                <w:szCs w:val="18"/>
                <w:u w:val="none"/>
                <w:lang w:val="en-US" w:eastAsia="zh-CN" w:bidi="ar"/>
              </w:rPr>
              <w:t>疫情防控限制活动数量</w:t>
            </w:r>
          </w:p>
        </w:tc>
      </w:tr>
      <w:tr>
        <w:tblPrEx>
          <w:tblCellMar>
            <w:top w:w="0" w:type="dxa"/>
            <w:left w:w="0" w:type="dxa"/>
            <w:bottom w:w="0" w:type="dxa"/>
            <w:right w:w="0" w:type="dxa"/>
          </w:tblCellMar>
        </w:tblPrEx>
        <w:trPr>
          <w:trHeight w:val="406" w:hRule="atLeast"/>
        </w:trPr>
        <w:tc>
          <w:tcPr>
            <w:tcW w:w="510"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4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rPr>
                <w:rFonts w:hint="eastAsia" w:ascii="宋体" w:hAnsi="宋体" w:eastAsia="宋体" w:cs="宋体"/>
                <w:color w:val="000000"/>
                <w:sz w:val="18"/>
                <w:szCs w:val="18"/>
              </w:rPr>
            </w:pP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开展青少年科普讲座</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≥15场次</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15场次</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sz w:val="18"/>
                <w:szCs w:val="18"/>
              </w:rPr>
            </w:pPr>
          </w:p>
        </w:tc>
      </w:tr>
      <w:tr>
        <w:tblPrEx>
          <w:tblCellMar>
            <w:top w:w="0" w:type="dxa"/>
            <w:left w:w="0" w:type="dxa"/>
            <w:bottom w:w="0" w:type="dxa"/>
            <w:right w:w="0" w:type="dxa"/>
          </w:tblCellMar>
        </w:tblPrEx>
        <w:trPr>
          <w:trHeight w:val="406" w:hRule="atLeast"/>
        </w:trPr>
        <w:tc>
          <w:tcPr>
            <w:tcW w:w="510"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4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rPr>
                <w:rFonts w:hint="eastAsia" w:ascii="宋体" w:hAnsi="宋体" w:eastAsia="宋体" w:cs="宋体"/>
                <w:color w:val="000000"/>
                <w:sz w:val="18"/>
                <w:szCs w:val="18"/>
              </w:rPr>
            </w:pP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开展青少年科技辅导</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≥15场次</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15场次</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sz w:val="18"/>
                <w:szCs w:val="18"/>
              </w:rPr>
            </w:pPr>
          </w:p>
        </w:tc>
      </w:tr>
      <w:tr>
        <w:tblPrEx>
          <w:tblCellMar>
            <w:top w:w="0" w:type="dxa"/>
            <w:left w:w="0" w:type="dxa"/>
            <w:bottom w:w="0" w:type="dxa"/>
            <w:right w:w="0" w:type="dxa"/>
          </w:tblCellMar>
        </w:tblPrEx>
        <w:trPr>
          <w:trHeight w:val="406" w:hRule="atLeast"/>
        </w:trPr>
        <w:tc>
          <w:tcPr>
            <w:tcW w:w="510"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4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rPr>
                <w:rFonts w:hint="eastAsia" w:ascii="宋体" w:hAnsi="宋体" w:eastAsia="宋体" w:cs="宋体"/>
                <w:color w:val="000000"/>
                <w:sz w:val="18"/>
                <w:szCs w:val="18"/>
              </w:rPr>
            </w:pP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开展科技辅导员培训</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≥12场次</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12场次</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5</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5</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716" w:hRule="atLeast"/>
        </w:trPr>
        <w:tc>
          <w:tcPr>
            <w:tcW w:w="510"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4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rPr>
                <w:rFonts w:hint="eastAsia" w:ascii="宋体" w:hAnsi="宋体" w:eastAsia="宋体" w:cs="宋体"/>
                <w:color w:val="000000"/>
                <w:sz w:val="18"/>
                <w:szCs w:val="18"/>
              </w:rPr>
            </w:pP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组织参加省级以上辅导员培训</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≥3场次</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3场次</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5</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5</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406" w:hRule="atLeast"/>
        </w:trPr>
        <w:tc>
          <w:tcPr>
            <w:tcW w:w="510"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质量指标</w:t>
            </w: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项目执行率</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100%</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100%</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sz w:val="18"/>
                <w:szCs w:val="18"/>
              </w:rPr>
            </w:pPr>
          </w:p>
        </w:tc>
      </w:tr>
      <w:tr>
        <w:tblPrEx>
          <w:tblCellMar>
            <w:top w:w="0" w:type="dxa"/>
            <w:left w:w="0" w:type="dxa"/>
            <w:bottom w:w="0" w:type="dxa"/>
            <w:right w:w="0" w:type="dxa"/>
          </w:tblCellMar>
        </w:tblPrEx>
        <w:trPr>
          <w:trHeight w:val="406" w:hRule="atLeast"/>
        </w:trPr>
        <w:tc>
          <w:tcPr>
            <w:tcW w:w="510"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时效指标</w:t>
            </w: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年度计划完成情况</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按计划完成</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按计划完成</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16" w:hRule="atLeast"/>
        </w:trPr>
        <w:tc>
          <w:tcPr>
            <w:tcW w:w="510"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18"/>
                <w:szCs w:val="18"/>
                <w:u w:val="none"/>
                <w:lang w:val="en-US" w:eastAsia="zh-CN" w:bidi="ar"/>
              </w:rPr>
              <w:t>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（30分）</w:t>
            </w:r>
          </w:p>
        </w:tc>
        <w:tc>
          <w:tcPr>
            <w:tcW w:w="1343"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社会效益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center"/>
              <w:rPr>
                <w:rFonts w:hint="eastAsia" w:ascii="宋体" w:hAnsi="宋体" w:eastAsia="宋体" w:cs="宋体"/>
                <w:i w:val="0"/>
                <w:color w:val="000000"/>
                <w:kern w:val="2"/>
                <w:sz w:val="18"/>
                <w:szCs w:val="18"/>
                <w:u w:val="none"/>
                <w:lang w:val="en-US" w:eastAsia="zh-CN" w:bidi="ar-SA"/>
              </w:rPr>
            </w:pP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面向全市青少年，提升全市青少年科学素质</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不断增强</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不断增强</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0" w:type="dxa"/>
            <w:left w:w="0" w:type="dxa"/>
            <w:bottom w:w="0" w:type="dxa"/>
            <w:right w:w="0" w:type="dxa"/>
          </w:tblCellMar>
        </w:tblPrEx>
        <w:trPr>
          <w:trHeight w:val="716" w:hRule="atLeast"/>
        </w:trPr>
        <w:tc>
          <w:tcPr>
            <w:tcW w:w="510"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p>
        </w:tc>
        <w:tc>
          <w:tcPr>
            <w:tcW w:w="1343"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center"/>
              <w:rPr>
                <w:rFonts w:hint="eastAsia" w:ascii="宋体" w:hAnsi="宋体" w:eastAsia="宋体" w:cs="宋体"/>
                <w:i w:val="0"/>
                <w:color w:val="000000"/>
                <w:kern w:val="2"/>
                <w:sz w:val="18"/>
                <w:szCs w:val="18"/>
                <w:u w:val="none"/>
                <w:lang w:val="en-US" w:eastAsia="zh-CN" w:bidi="ar-SA"/>
              </w:rPr>
            </w:pP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全面提升科技辅导员的科学素质</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不断增强</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不断增强</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0" w:type="dxa"/>
            <w:left w:w="0" w:type="dxa"/>
            <w:bottom w:w="0" w:type="dxa"/>
            <w:right w:w="0" w:type="dxa"/>
          </w:tblCellMar>
        </w:tblPrEx>
        <w:trPr>
          <w:trHeight w:val="406" w:hRule="atLeast"/>
        </w:trPr>
        <w:tc>
          <w:tcPr>
            <w:tcW w:w="510"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p>
        </w:tc>
        <w:tc>
          <w:tcPr>
            <w:tcW w:w="1343" w:type="dxa"/>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可持续影响指标</w:t>
            </w: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不断提升全民科学素质</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不断提高</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不断提高</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0" w:type="dxa"/>
            <w:left w:w="0" w:type="dxa"/>
            <w:bottom w:w="0" w:type="dxa"/>
            <w:right w:w="0" w:type="dxa"/>
          </w:tblCellMar>
        </w:tblPrEx>
        <w:trPr>
          <w:trHeight w:val="716" w:hRule="atLeast"/>
        </w:trPr>
        <w:tc>
          <w:tcPr>
            <w:tcW w:w="510" w:type="dxa"/>
            <w:vMerge w:val="continue"/>
            <w:tcBorders>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满意度指标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（10分）</w:t>
            </w:r>
          </w:p>
        </w:tc>
        <w:tc>
          <w:tcPr>
            <w:tcW w:w="13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满意度指标</w:t>
            </w: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公众满意度</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≧98</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≧98</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9</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进一步完善青少年科普工作，提高公众满意度</w:t>
            </w:r>
          </w:p>
        </w:tc>
      </w:tr>
      <w:tr>
        <w:tblPrEx>
          <w:tblCellMar>
            <w:top w:w="0" w:type="dxa"/>
            <w:left w:w="0" w:type="dxa"/>
            <w:bottom w:w="0" w:type="dxa"/>
            <w:right w:w="0" w:type="dxa"/>
          </w:tblCellMar>
        </w:tblPrEx>
        <w:trPr>
          <w:trHeight w:val="444" w:hRule="atLeast"/>
        </w:trPr>
        <w:tc>
          <w:tcPr>
            <w:tcW w:w="7617" w:type="dxa"/>
            <w:gridSpan w:val="7"/>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总分</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100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color w:val="000000"/>
                <w:sz w:val="21"/>
                <w:szCs w:val="21"/>
                <w:lang w:val="en-US" w:eastAsia="zh-CN"/>
              </w:rPr>
            </w:pPr>
            <w:r>
              <w:rPr>
                <w:rFonts w:hint="eastAsia" w:ascii="宋体" w:hAnsi="宋体" w:eastAsia="宋体" w:cs="宋体"/>
                <w:b/>
                <w:color w:val="000000"/>
                <w:kern w:val="0"/>
                <w:sz w:val="21"/>
                <w:szCs w:val="21"/>
                <w:lang w:val="en-US" w:eastAsia="zh-CN" w:bidi="ar"/>
              </w:rPr>
              <w:t>98.8</w:t>
            </w:r>
          </w:p>
        </w:tc>
        <w:tc>
          <w:tcPr>
            <w:tcW w:w="1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r>
    </w:tbl>
    <w:p>
      <w:pPr>
        <w:rPr>
          <w:rFonts w:hint="eastAsia" w:ascii="仿宋_GB2312" w:hAnsi="仿宋_GB2312" w:cs="仿宋_GB2312"/>
          <w:b/>
          <w:bCs/>
          <w:szCs w:val="32"/>
        </w:rPr>
        <w:sectPr>
          <w:pgSz w:w="11906" w:h="16838"/>
          <w:pgMar w:top="567" w:right="567" w:bottom="567" w:left="737" w:header="851" w:footer="992" w:gutter="0"/>
          <w:cols w:space="0" w:num="1"/>
          <w:rtlGutter w:val="0"/>
          <w:docGrid w:type="lines" w:linePitch="312" w:charSpace="0"/>
        </w:sectPr>
      </w:pPr>
    </w:p>
    <w:p>
      <w:pPr>
        <w:adjustRightInd w:val="0"/>
        <w:snapToGrid w:val="0"/>
        <w:spacing w:line="600" w:lineRule="exact"/>
        <w:ind w:firstLine="640" w:firstLineChars="200"/>
        <w:rPr>
          <w:rFonts w:hint="eastAsia" w:ascii="黑体" w:hAnsi="黑体" w:eastAsia="黑体"/>
          <w:szCs w:val="32"/>
        </w:rPr>
      </w:pPr>
      <w:r>
        <w:rPr>
          <w:rFonts w:hint="eastAsia" w:ascii="黑体" w:hAnsi="黑体" w:eastAsia="黑体"/>
          <w:szCs w:val="32"/>
        </w:rPr>
        <w:t>第四部分 名词解释</w:t>
      </w:r>
    </w:p>
    <w:p>
      <w:pPr>
        <w:adjustRightInd w:val="0"/>
        <w:snapToGrid w:val="0"/>
        <w:spacing w:line="600" w:lineRule="exact"/>
        <w:ind w:left="425" w:firstLine="206" w:firstLineChars="64"/>
        <w:rPr>
          <w:rFonts w:hint="eastAsia" w:ascii="仿宋_GB2312" w:hAnsi="仿宋"/>
          <w:szCs w:val="32"/>
        </w:rPr>
      </w:pPr>
      <w:r>
        <w:rPr>
          <w:rFonts w:hint="eastAsia" w:ascii="仿宋_GB2312" w:hAnsi="仿宋"/>
          <w:b/>
          <w:szCs w:val="32"/>
        </w:rPr>
        <w:t>一、财政拨款收入：</w:t>
      </w:r>
      <w:r>
        <w:rPr>
          <w:rFonts w:hint="eastAsia" w:ascii="仿宋_GB2312" w:hAnsi="仿宋"/>
          <w:szCs w:val="32"/>
        </w:rPr>
        <w:t>指单位从同级财政部门取得的财政预算资金。</w:t>
      </w:r>
    </w:p>
    <w:p>
      <w:pPr>
        <w:adjustRightInd w:val="0"/>
        <w:snapToGrid w:val="0"/>
        <w:spacing w:line="600" w:lineRule="exact"/>
        <w:ind w:firstLine="643" w:firstLineChars="200"/>
        <w:rPr>
          <w:rFonts w:hint="eastAsia" w:ascii="仿宋_GB2312" w:hAnsi="仿宋"/>
          <w:szCs w:val="32"/>
        </w:rPr>
      </w:pPr>
      <w:r>
        <w:rPr>
          <w:rFonts w:hint="eastAsia" w:ascii="仿宋_GB2312" w:hAnsi="仿宋"/>
          <w:b/>
          <w:bCs/>
          <w:szCs w:val="32"/>
        </w:rPr>
        <w:t>二、事业收入：</w:t>
      </w:r>
      <w:r>
        <w:rPr>
          <w:rFonts w:hint="eastAsia" w:ascii="仿宋_GB2312" w:hAnsi="仿宋"/>
          <w:szCs w:val="32"/>
        </w:rPr>
        <w:t>指事业单位开展专业业务活动及辅助活动所取得的收入。</w:t>
      </w:r>
    </w:p>
    <w:p>
      <w:pPr>
        <w:pStyle w:val="2"/>
        <w:adjustRightInd w:val="0"/>
        <w:snapToGrid w:val="0"/>
        <w:spacing w:line="600" w:lineRule="exact"/>
        <w:ind w:firstLine="630" w:firstLineChars="196"/>
        <w:rPr>
          <w:rFonts w:ascii="仿宋_GB2312" w:hAnsi="黑体"/>
          <w:b/>
          <w:bCs/>
          <w:szCs w:val="32"/>
        </w:rPr>
      </w:pPr>
      <w:r>
        <w:rPr>
          <w:rFonts w:hint="eastAsia" w:ascii="仿宋_GB2312" w:hAnsi="黑体" w:eastAsia="仿宋_GB2312"/>
          <w:b/>
          <w:sz w:val="32"/>
          <w:szCs w:val="32"/>
        </w:rPr>
        <w:t>三、</w:t>
      </w:r>
      <w:r>
        <w:rPr>
          <w:rFonts w:hint="eastAsia" w:ascii="仿宋_GB2312" w:hAnsi="黑体" w:eastAsia="仿宋_GB2312"/>
          <w:b/>
          <w:bCs/>
          <w:sz w:val="32"/>
          <w:szCs w:val="32"/>
        </w:rPr>
        <w:t>上级补助收入：</w:t>
      </w:r>
      <w:r>
        <w:rPr>
          <w:rFonts w:hint="eastAsia" w:ascii="仿宋_GB2312" w:hAnsi="黑体" w:eastAsia="仿宋_GB2312"/>
          <w:bCs/>
          <w:sz w:val="32"/>
          <w:szCs w:val="32"/>
        </w:rPr>
        <w:t>指</w:t>
      </w:r>
      <w:r>
        <w:rPr>
          <w:rFonts w:hint="eastAsia" w:ascii="仿宋_GB2312" w:hAnsi="仿宋" w:eastAsia="仿宋_GB2312" w:cs="Times New Roman"/>
          <w:kern w:val="2"/>
          <w:sz w:val="32"/>
          <w:szCs w:val="32"/>
        </w:rPr>
        <w:t>事业单位从主管部门和上级单位取得的非财政补助收入。</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bCs/>
          <w:sz w:val="32"/>
          <w:szCs w:val="32"/>
        </w:rPr>
      </w:pPr>
      <w:r>
        <w:rPr>
          <w:rFonts w:hint="eastAsia" w:ascii="仿宋_GB2312" w:hAnsi="黑体" w:eastAsia="仿宋_GB2312"/>
          <w:b/>
          <w:bCs/>
          <w:sz w:val="32"/>
          <w:szCs w:val="32"/>
        </w:rPr>
        <w:t>四、附属单位上缴收入：</w:t>
      </w:r>
      <w:r>
        <w:rPr>
          <w:rFonts w:hint="eastAsia" w:ascii="仿宋_GB2312" w:hAnsi="黑体" w:eastAsia="仿宋_GB2312"/>
          <w:bCs/>
          <w:sz w:val="32"/>
          <w:szCs w:val="32"/>
        </w:rPr>
        <w:t>指事业单位附属独立核算单位按照有关规定上缴的收入。</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bCs/>
          <w:sz w:val="32"/>
          <w:szCs w:val="32"/>
        </w:rPr>
      </w:pPr>
      <w:r>
        <w:rPr>
          <w:rFonts w:hint="eastAsia" w:ascii="仿宋_GB2312" w:hAnsi="黑体" w:eastAsia="仿宋_GB2312"/>
          <w:b/>
          <w:bCs/>
          <w:sz w:val="32"/>
          <w:szCs w:val="32"/>
        </w:rPr>
        <w:t>五、经营收入</w:t>
      </w:r>
      <w:r>
        <w:rPr>
          <w:rFonts w:hint="eastAsia"/>
          <w:b/>
          <w:bCs/>
          <w:color w:val="383535"/>
        </w:rPr>
        <w:t>：</w:t>
      </w:r>
      <w:r>
        <w:rPr>
          <w:rFonts w:hint="eastAsia" w:ascii="仿宋_GB2312" w:hAnsi="黑体" w:eastAsia="仿宋_GB2312"/>
          <w:bCs/>
          <w:sz w:val="32"/>
          <w:szCs w:val="32"/>
        </w:rPr>
        <w:t>指事业单位在专业业务活动及其辅助活动之外开展非独立核算经营活动取得的收入。</w:t>
      </w:r>
    </w:p>
    <w:p>
      <w:pPr>
        <w:pStyle w:val="2"/>
        <w:adjustRightInd w:val="0"/>
        <w:snapToGrid w:val="0"/>
        <w:spacing w:line="600" w:lineRule="exact"/>
        <w:ind w:firstLine="630" w:firstLineChars="196"/>
        <w:rPr>
          <w:rFonts w:hint="eastAsia" w:ascii="仿宋_GB2312" w:hAnsi="黑体"/>
          <w:b/>
          <w:bCs/>
          <w:szCs w:val="32"/>
        </w:rPr>
      </w:pPr>
      <w:r>
        <w:rPr>
          <w:rFonts w:hint="eastAsia" w:ascii="仿宋_GB2312" w:hAnsi="黑体" w:eastAsia="仿宋_GB2312"/>
          <w:b/>
          <w:sz w:val="32"/>
          <w:szCs w:val="32"/>
        </w:rPr>
        <w:t>六、</w:t>
      </w:r>
      <w:r>
        <w:rPr>
          <w:rFonts w:hint="eastAsia" w:ascii="仿宋_GB2312" w:hAnsi="黑体" w:eastAsia="仿宋_GB2312"/>
          <w:b/>
          <w:bCs/>
          <w:sz w:val="32"/>
          <w:szCs w:val="32"/>
        </w:rPr>
        <w:t>其他收入：</w:t>
      </w:r>
      <w:r>
        <w:rPr>
          <w:rFonts w:hint="eastAsia" w:ascii="仿宋_GB2312" w:hAnsi="黑体" w:eastAsia="仿宋_GB2312"/>
          <w:bCs/>
          <w:sz w:val="32"/>
          <w:szCs w:val="32"/>
        </w:rPr>
        <w:t>指除财政拨款收入、事业收入、上级补助收入、附属单位上缴收入、经营收入以外的各项收入</w:t>
      </w:r>
      <w:r>
        <w:rPr>
          <w:rFonts w:hint="eastAsia" w:ascii="仿宋_GB2312" w:hAnsi="黑体" w:eastAsia="仿宋_GB2312"/>
          <w:bCs/>
          <w:color w:val="auto"/>
          <w:sz w:val="32"/>
          <w:szCs w:val="32"/>
        </w:rPr>
        <w:t>。</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bCs/>
          <w:sz w:val="32"/>
          <w:szCs w:val="32"/>
          <w:lang w:eastAsia="zh-CN"/>
        </w:rPr>
      </w:pPr>
      <w:r>
        <w:rPr>
          <w:rFonts w:hint="eastAsia" w:ascii="仿宋_GB2312" w:hAnsi="黑体" w:eastAsia="仿宋_GB2312"/>
          <w:b/>
          <w:bCs/>
          <w:sz w:val="32"/>
          <w:szCs w:val="32"/>
          <w:lang w:eastAsia="zh-CN"/>
        </w:rPr>
        <w:t>七、使用非财政拨款结余：</w:t>
      </w:r>
      <w:r>
        <w:rPr>
          <w:rFonts w:hint="eastAsia" w:ascii="仿宋_GB2312" w:hAnsi="黑体" w:eastAsia="仿宋_GB2312"/>
          <w:bCs/>
          <w:sz w:val="32"/>
          <w:szCs w:val="32"/>
          <w:lang w:eastAsia="zh-CN"/>
        </w:rPr>
        <w:t>指事业单位使用以前年度积累的非财政拨款结余弥补当年收支差额的金额。</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bCs/>
          <w:sz w:val="32"/>
          <w:szCs w:val="32"/>
        </w:rPr>
      </w:pPr>
      <w:r>
        <w:rPr>
          <w:rFonts w:hint="eastAsia" w:ascii="仿宋_GB2312" w:hAnsi="黑体" w:eastAsia="仿宋_GB2312"/>
          <w:b/>
          <w:bCs/>
          <w:sz w:val="32"/>
          <w:szCs w:val="32"/>
          <w:lang w:eastAsia="zh-CN"/>
        </w:rPr>
        <w:t>八</w:t>
      </w:r>
      <w:r>
        <w:rPr>
          <w:rFonts w:hint="eastAsia" w:ascii="仿宋_GB2312" w:hAnsi="黑体" w:eastAsia="仿宋_GB2312"/>
          <w:b/>
          <w:bCs/>
          <w:sz w:val="32"/>
          <w:szCs w:val="32"/>
        </w:rPr>
        <w:t>、年初结转和结余：</w:t>
      </w:r>
      <w:r>
        <w:rPr>
          <w:rFonts w:hint="eastAsia" w:ascii="仿宋_GB2312" w:hAnsi="黑体" w:eastAsia="仿宋_GB2312"/>
          <w:bCs/>
          <w:sz w:val="32"/>
          <w:szCs w:val="32"/>
        </w:rPr>
        <w:t>指以前年度安排、结转到本年仍按原规定用途继续使用的资金。</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bCs/>
          <w:sz w:val="32"/>
          <w:szCs w:val="32"/>
        </w:rPr>
      </w:pPr>
      <w:r>
        <w:rPr>
          <w:rFonts w:hint="eastAsia" w:ascii="仿宋_GB2312" w:hAnsi="黑体" w:eastAsia="仿宋_GB2312"/>
          <w:b/>
          <w:bCs/>
          <w:sz w:val="32"/>
          <w:szCs w:val="32"/>
          <w:lang w:eastAsia="zh-CN"/>
        </w:rPr>
        <w:t>九</w:t>
      </w:r>
      <w:r>
        <w:rPr>
          <w:rFonts w:hint="eastAsia" w:ascii="仿宋_GB2312" w:hAnsi="黑体" w:eastAsia="仿宋_GB2312"/>
          <w:b/>
          <w:bCs/>
          <w:sz w:val="32"/>
          <w:szCs w:val="32"/>
        </w:rPr>
        <w:t>、结余分配：</w:t>
      </w:r>
      <w:r>
        <w:rPr>
          <w:rFonts w:hint="eastAsia" w:ascii="仿宋_GB2312" w:hAnsi="黑体" w:eastAsia="仿宋_GB2312"/>
          <w:bCs/>
          <w:sz w:val="32"/>
          <w:szCs w:val="32"/>
        </w:rPr>
        <w:t>指事业单位按照会计制度规定缴纳的所得税以及从非财政拨款结余中提取的职工福利基金、事业基金等。</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b/>
          <w:sz w:val="32"/>
          <w:szCs w:val="32"/>
        </w:rPr>
      </w:pPr>
      <w:r>
        <w:rPr>
          <w:rFonts w:hint="eastAsia" w:ascii="仿宋_GB2312" w:hAnsi="黑体" w:eastAsia="仿宋_GB2312"/>
          <w:b/>
          <w:bCs/>
          <w:sz w:val="32"/>
          <w:szCs w:val="32"/>
          <w:lang w:eastAsia="zh-CN"/>
        </w:rPr>
        <w:t>十</w:t>
      </w:r>
      <w:r>
        <w:rPr>
          <w:rFonts w:hint="eastAsia" w:ascii="仿宋_GB2312" w:hAnsi="黑体" w:eastAsia="仿宋_GB2312"/>
          <w:b/>
          <w:bCs/>
          <w:sz w:val="32"/>
          <w:szCs w:val="32"/>
        </w:rPr>
        <w:t>、年末结转和结余：</w:t>
      </w:r>
      <w:r>
        <w:rPr>
          <w:rFonts w:hint="eastAsia" w:ascii="仿宋_GB2312" w:hAnsi="黑体" w:eastAsia="仿宋_GB2312"/>
          <w:bCs/>
          <w:sz w:val="32"/>
          <w:szCs w:val="32"/>
        </w:rPr>
        <w:t>指单位本年度或以前年度预算安排、因客观条件发生变化未全部执行或未执行，结转到以后年度继续使用的资金，或项目已经完成等产生的结余资金。</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sz w:val="32"/>
          <w:szCs w:val="32"/>
        </w:rPr>
      </w:pPr>
      <w:r>
        <w:rPr>
          <w:rFonts w:hint="eastAsia" w:ascii="仿宋_GB2312" w:hAnsi="黑体" w:eastAsia="仿宋_GB2312"/>
          <w:b/>
          <w:sz w:val="32"/>
          <w:szCs w:val="32"/>
        </w:rPr>
        <w:t>十</w:t>
      </w:r>
      <w:r>
        <w:rPr>
          <w:rFonts w:hint="eastAsia" w:ascii="仿宋_GB2312" w:hAnsi="黑体" w:eastAsia="仿宋_GB2312"/>
          <w:b/>
          <w:sz w:val="32"/>
          <w:szCs w:val="32"/>
          <w:lang w:eastAsia="zh-CN"/>
        </w:rPr>
        <w:t>一</w:t>
      </w:r>
      <w:r>
        <w:rPr>
          <w:rFonts w:hint="eastAsia" w:ascii="仿宋_GB2312" w:hAnsi="黑体" w:eastAsia="仿宋_GB2312"/>
          <w:b/>
          <w:sz w:val="32"/>
          <w:szCs w:val="32"/>
        </w:rPr>
        <w:t>、基本支出：</w:t>
      </w:r>
      <w:r>
        <w:rPr>
          <w:rFonts w:hint="eastAsia" w:ascii="仿宋_GB2312" w:hAnsi="黑体" w:eastAsia="仿宋_GB2312"/>
          <w:sz w:val="32"/>
          <w:szCs w:val="32"/>
        </w:rPr>
        <w:t>指单位为保障其机构正常运转、完成日常工作任务而发生的人员支出和公用支出。</w:t>
      </w:r>
    </w:p>
    <w:p>
      <w:pPr>
        <w:pStyle w:val="2"/>
        <w:spacing w:before="0" w:beforeAutospacing="0" w:after="0" w:afterAutospacing="0" w:line="600" w:lineRule="exact"/>
        <w:ind w:firstLine="630" w:firstLineChars="196"/>
        <w:jc w:val="both"/>
        <w:rPr>
          <w:rFonts w:hint="eastAsia" w:ascii="仿宋_GB2312" w:hAnsi="黑体" w:eastAsia="仿宋_GB2312"/>
          <w:sz w:val="32"/>
          <w:szCs w:val="32"/>
        </w:rPr>
      </w:pPr>
      <w:r>
        <w:rPr>
          <w:rFonts w:hint="eastAsia" w:ascii="仿宋_GB2312" w:hAnsi="黑体" w:eastAsia="仿宋_GB2312"/>
          <w:b/>
          <w:sz w:val="32"/>
          <w:szCs w:val="32"/>
        </w:rPr>
        <w:t>十</w:t>
      </w:r>
      <w:r>
        <w:rPr>
          <w:rFonts w:hint="eastAsia" w:ascii="仿宋_GB2312" w:hAnsi="黑体" w:eastAsia="仿宋_GB2312"/>
          <w:b/>
          <w:sz w:val="32"/>
          <w:szCs w:val="32"/>
          <w:lang w:eastAsia="zh-CN"/>
        </w:rPr>
        <w:t>二</w:t>
      </w:r>
      <w:r>
        <w:rPr>
          <w:rFonts w:hint="eastAsia" w:ascii="仿宋_GB2312" w:hAnsi="黑体" w:eastAsia="仿宋_GB2312"/>
          <w:b/>
          <w:sz w:val="32"/>
          <w:szCs w:val="32"/>
        </w:rPr>
        <w:t>、项目支出：</w:t>
      </w:r>
      <w:r>
        <w:rPr>
          <w:rFonts w:hint="eastAsia" w:ascii="仿宋_GB2312" w:hAnsi="黑体" w:eastAsia="仿宋_GB2312"/>
          <w:sz w:val="32"/>
          <w:szCs w:val="32"/>
        </w:rPr>
        <w:t>指单位为完成特定行政任务和事业发展目标在基本支出之外所发生的支出。</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    </w:t>
      </w:r>
      <w:r>
        <w:rPr>
          <w:rFonts w:hint="eastAsia" w:ascii="仿宋_GB2312" w:hAnsi="黑体" w:eastAsia="仿宋_GB2312"/>
          <w:b/>
          <w:sz w:val="32"/>
          <w:szCs w:val="32"/>
        </w:rPr>
        <w:t>十</w:t>
      </w:r>
      <w:r>
        <w:rPr>
          <w:rFonts w:hint="eastAsia" w:ascii="仿宋_GB2312" w:hAnsi="黑体" w:eastAsia="仿宋_GB2312"/>
          <w:b/>
          <w:sz w:val="32"/>
          <w:szCs w:val="32"/>
          <w:lang w:eastAsia="zh-CN"/>
        </w:rPr>
        <w:t>三</w:t>
      </w:r>
      <w:r>
        <w:rPr>
          <w:rFonts w:hint="eastAsia" w:ascii="仿宋_GB2312" w:hAnsi="黑体" w:eastAsia="仿宋_GB2312"/>
          <w:b/>
          <w:sz w:val="32"/>
          <w:szCs w:val="32"/>
        </w:rPr>
        <w:t>、经营支出：</w:t>
      </w:r>
      <w:r>
        <w:rPr>
          <w:rFonts w:hint="eastAsia" w:ascii="仿宋_GB2312" w:hAnsi="黑体" w:eastAsia="仿宋_GB2312"/>
          <w:sz w:val="32"/>
          <w:szCs w:val="32"/>
        </w:rPr>
        <w:t>指事业单位在专业业务活动及其辅助活动之外开展非独立核算经营活动发生的支出。</w:t>
      </w:r>
    </w:p>
    <w:p>
      <w:pPr>
        <w:pStyle w:val="2"/>
        <w:spacing w:before="0" w:beforeAutospacing="0" w:after="0" w:afterAutospacing="0" w:line="600" w:lineRule="exact"/>
        <w:ind w:firstLine="630" w:firstLineChars="196"/>
        <w:jc w:val="both"/>
        <w:rPr>
          <w:rFonts w:hint="eastAsia" w:ascii="仿宋_GB2312" w:hAnsi="黑体" w:eastAsia="仿宋_GB2312"/>
          <w:b/>
          <w:sz w:val="32"/>
          <w:szCs w:val="32"/>
        </w:rPr>
      </w:pPr>
      <w:r>
        <w:rPr>
          <w:rFonts w:hint="eastAsia" w:ascii="仿宋_GB2312" w:hAnsi="黑体" w:eastAsia="仿宋_GB2312"/>
          <w:b/>
          <w:sz w:val="32"/>
          <w:szCs w:val="32"/>
        </w:rPr>
        <w:t>十</w:t>
      </w:r>
      <w:r>
        <w:rPr>
          <w:rFonts w:hint="eastAsia" w:ascii="仿宋_GB2312" w:hAnsi="黑体" w:eastAsia="仿宋_GB2312"/>
          <w:b/>
          <w:sz w:val="32"/>
          <w:szCs w:val="32"/>
          <w:lang w:eastAsia="zh-CN"/>
        </w:rPr>
        <w:t>四</w:t>
      </w:r>
      <w:r>
        <w:rPr>
          <w:rFonts w:hint="eastAsia" w:ascii="仿宋_GB2312" w:hAnsi="黑体" w:eastAsia="仿宋_GB2312"/>
          <w:b/>
          <w:sz w:val="32"/>
          <w:szCs w:val="32"/>
        </w:rPr>
        <w:t>、“三公”经费：</w:t>
      </w:r>
      <w:r>
        <w:rPr>
          <w:rFonts w:hint="eastAsia" w:ascii="仿宋_GB2312" w:hAnsi="黑体" w:eastAsia="仿宋_GB2312"/>
          <w:sz w:val="32"/>
          <w:szCs w:val="32"/>
        </w:rPr>
        <w:t>纳入财政预决算管理的“三公”经费，是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燃料费、维修费、过桥过路费、保险费、安全奖励费用等支出；公务接待费反映单位按规定开支的各类公务接待（含外宾接待</w:t>
      </w:r>
      <w:r>
        <w:rPr>
          <w:rFonts w:ascii="仿宋_GB2312" w:hAnsi="黑体" w:eastAsia="仿宋_GB2312"/>
          <w:sz w:val="32"/>
          <w:szCs w:val="32"/>
        </w:rPr>
        <w:t>）</w:t>
      </w:r>
      <w:r>
        <w:rPr>
          <w:rFonts w:hint="eastAsia" w:ascii="仿宋_GB2312" w:hAnsi="黑体" w:eastAsia="仿宋_GB2312"/>
          <w:sz w:val="32"/>
          <w:szCs w:val="32"/>
        </w:rPr>
        <w:t>支出。</w:t>
      </w:r>
    </w:p>
    <w:p>
      <w:pPr>
        <w:pStyle w:val="2"/>
        <w:spacing w:before="0" w:beforeAutospacing="0" w:after="0" w:afterAutospacing="0" w:line="600" w:lineRule="exact"/>
        <w:ind w:firstLine="630" w:firstLineChars="196"/>
        <w:jc w:val="both"/>
        <w:rPr>
          <w:rFonts w:hint="eastAsia" w:ascii="仿宋_GB2312" w:hAnsi="黑体" w:eastAsia="仿宋_GB2312"/>
          <w:b/>
          <w:sz w:val="32"/>
          <w:szCs w:val="32"/>
        </w:rPr>
      </w:pPr>
      <w:r>
        <w:rPr>
          <w:rFonts w:hint="eastAsia" w:ascii="仿宋_GB2312" w:hAnsi="黑体" w:eastAsia="仿宋_GB2312"/>
          <w:b/>
          <w:sz w:val="32"/>
          <w:szCs w:val="32"/>
        </w:rPr>
        <w:t>十</w:t>
      </w:r>
      <w:r>
        <w:rPr>
          <w:rFonts w:hint="eastAsia" w:ascii="仿宋_GB2312" w:hAnsi="黑体" w:eastAsia="仿宋_GB2312"/>
          <w:b/>
          <w:sz w:val="32"/>
          <w:szCs w:val="32"/>
          <w:lang w:eastAsia="zh-CN"/>
        </w:rPr>
        <w:t>五</w:t>
      </w:r>
      <w:r>
        <w:rPr>
          <w:rFonts w:hint="eastAsia" w:ascii="仿宋_GB2312" w:hAnsi="黑体" w:eastAsia="仿宋_GB2312"/>
          <w:b/>
          <w:sz w:val="32"/>
          <w:szCs w:val="32"/>
        </w:rPr>
        <w:t>、机关运行经费</w:t>
      </w:r>
      <w:r>
        <w:rPr>
          <w:rFonts w:hint="eastAsia" w:ascii="仿宋_GB2312" w:hAnsi="黑体" w:eastAsia="仿宋_GB2312"/>
          <w:sz w:val="32"/>
          <w:szCs w:val="32"/>
        </w:rPr>
        <w:t>：</w:t>
      </w:r>
      <w:r>
        <w:rPr>
          <w:rFonts w:hint="eastAsia" w:ascii="仿宋_GB2312" w:eastAsia="仿宋_GB2312"/>
          <w:sz w:val="32"/>
          <w:szCs w:val="32"/>
        </w:rPr>
        <w:t>指为保障行政单位（含参照公务员法管理的事业单位）运行用于购买货物和服务的各项资金</w:t>
      </w:r>
      <w:r>
        <w:rPr>
          <w:rFonts w:hint="eastAsia" w:ascii="仿宋_GB2312" w:hAnsi="Times New Roman" w:eastAsia="仿宋_GB2312"/>
          <w:kern w:val="2"/>
          <w:sz w:val="32"/>
          <w:szCs w:val="32"/>
        </w:rPr>
        <w:t>，包括办公及印刷费、邮电费、差旅费、会议费、福利费、日常维修费、专用材料费及一般设备购置费、办公用房水电费、办公用房取暖费、办公用房物业管理费、公务用车运行维护费以及其他费用。</w:t>
      </w:r>
    </w:p>
    <w:p>
      <w:pPr>
        <w:adjustRightInd w:val="0"/>
        <w:snapToGrid w:val="0"/>
        <w:spacing w:line="600" w:lineRule="exact"/>
        <w:ind w:firstLine="640" w:firstLineChars="200"/>
        <w:rPr>
          <w:rFonts w:hint="eastAsia" w:ascii="黑体" w:hAnsi="黑体" w:eastAsia="黑体"/>
          <w:szCs w:val="32"/>
        </w:rPr>
      </w:pPr>
    </w:p>
    <w:p>
      <w:pPr>
        <w:numPr>
          <w:ilvl w:val="0"/>
          <w:numId w:val="4"/>
        </w:numPr>
        <w:adjustRightInd w:val="0"/>
        <w:snapToGrid w:val="0"/>
        <w:spacing w:line="600" w:lineRule="exact"/>
        <w:ind w:firstLine="640" w:firstLineChars="200"/>
        <w:rPr>
          <w:rFonts w:hint="eastAsia" w:ascii="黑体" w:hAnsi="黑体" w:eastAsia="黑体"/>
          <w:szCs w:val="32"/>
          <w:lang w:eastAsia="zh-CN"/>
        </w:rPr>
      </w:pPr>
      <w:r>
        <w:rPr>
          <w:rFonts w:hint="eastAsia" w:ascii="黑体" w:hAnsi="黑体" w:eastAsia="黑体"/>
          <w:szCs w:val="32"/>
          <w:lang w:eastAsia="zh-CN"/>
        </w:rPr>
        <w:t>附件</w:t>
      </w:r>
    </w:p>
    <w:p>
      <w:pPr>
        <w:numPr>
          <w:ilvl w:val="0"/>
          <w:numId w:val="0"/>
        </w:numPr>
        <w:adjustRightInd w:val="0"/>
        <w:snapToGrid w:val="0"/>
        <w:spacing w:line="600" w:lineRule="exact"/>
        <w:ind w:firstLine="640" w:firstLineChars="200"/>
        <w:rPr>
          <w:rFonts w:hint="eastAsia" w:ascii="黑体" w:hAnsi="黑体" w:eastAsia="黑体"/>
          <w:szCs w:val="32"/>
          <w:lang w:eastAsia="zh-CN"/>
        </w:rPr>
      </w:pPr>
      <w:r>
        <w:rPr>
          <w:rFonts w:hint="eastAsia" w:ascii="黑体" w:hAnsi="黑体" w:eastAsia="黑体"/>
          <w:szCs w:val="32"/>
          <w:lang w:eastAsia="zh-CN"/>
        </w:rPr>
        <w:t>蚌埠市科协本级20</w:t>
      </w:r>
      <w:r>
        <w:rPr>
          <w:rFonts w:hint="eastAsia" w:ascii="黑体" w:hAnsi="黑体" w:eastAsia="黑体"/>
          <w:szCs w:val="32"/>
          <w:lang w:val="en-US" w:eastAsia="zh-CN"/>
        </w:rPr>
        <w:t>20年度单位</w:t>
      </w:r>
      <w:r>
        <w:rPr>
          <w:rFonts w:hint="eastAsia" w:ascii="黑体" w:hAnsi="黑体" w:eastAsia="黑体"/>
          <w:szCs w:val="32"/>
          <w:lang w:eastAsia="zh-CN"/>
        </w:rPr>
        <w:t>决算公开表</w:t>
      </w:r>
    </w:p>
    <w:p>
      <w:pPr>
        <w:numPr>
          <w:ilvl w:val="0"/>
          <w:numId w:val="0"/>
        </w:numPr>
        <w:adjustRightInd w:val="0"/>
        <w:snapToGrid w:val="0"/>
        <w:spacing w:line="600" w:lineRule="exact"/>
        <w:rPr>
          <w:rFonts w:hint="eastAsia" w:ascii="黑体" w:hAnsi="黑体" w:eastAsia="黑体"/>
          <w:szCs w:val="32"/>
          <w:lang w:eastAsia="zh-CN"/>
        </w:rPr>
      </w:pPr>
    </w:p>
    <w:p>
      <w:pPr>
        <w:numPr>
          <w:ilvl w:val="0"/>
          <w:numId w:val="0"/>
        </w:numPr>
        <w:adjustRightInd w:val="0"/>
        <w:snapToGrid w:val="0"/>
        <w:spacing w:line="600" w:lineRule="exact"/>
        <w:rPr>
          <w:rFonts w:hint="eastAsia" w:ascii="黑体" w:hAnsi="黑体" w:eastAsia="黑体"/>
          <w:szCs w:val="32"/>
          <w:lang w:eastAsia="zh-CN"/>
        </w:rPr>
      </w:pPr>
    </w:p>
    <w:p>
      <w:pPr>
        <w:numPr>
          <w:ilvl w:val="0"/>
          <w:numId w:val="0"/>
        </w:numPr>
        <w:adjustRightInd w:val="0"/>
        <w:snapToGrid w:val="0"/>
        <w:spacing w:line="600" w:lineRule="exact"/>
        <w:rPr>
          <w:rFonts w:hint="eastAsia" w:ascii="黑体" w:hAnsi="黑体" w:eastAsia="黑体"/>
          <w:szCs w:val="32"/>
          <w:lang w:eastAsia="zh-CN"/>
        </w:rPr>
      </w:pPr>
    </w:p>
    <w:p>
      <w:pPr>
        <w:numPr>
          <w:ilvl w:val="0"/>
          <w:numId w:val="0"/>
        </w:numPr>
        <w:adjustRightInd w:val="0"/>
        <w:snapToGrid w:val="0"/>
        <w:spacing w:line="600" w:lineRule="exact"/>
        <w:rPr>
          <w:rFonts w:hint="eastAsia" w:ascii="黑体" w:hAnsi="黑体" w:eastAsia="黑体"/>
          <w:szCs w:val="32"/>
          <w:lang w:eastAsia="zh-CN"/>
        </w:rPr>
      </w:pPr>
    </w:p>
    <w:sectPr>
      <w:pgSz w:w="11906" w:h="16838"/>
      <w:pgMar w:top="1440" w:right="1803" w:bottom="1440" w:left="1803"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C5065D"/>
    <w:multiLevelType w:val="singleLevel"/>
    <w:tmpl w:val="85C5065D"/>
    <w:lvl w:ilvl="0" w:tentative="0">
      <w:start w:val="5"/>
      <w:numFmt w:val="chineseCounting"/>
      <w:suff w:val="space"/>
      <w:lvlText w:val="第%1部分"/>
      <w:lvlJc w:val="left"/>
      <w:rPr>
        <w:rFonts w:hint="eastAsia"/>
      </w:rPr>
    </w:lvl>
  </w:abstractNum>
  <w:abstractNum w:abstractNumId="1">
    <w:nsid w:val="CD9F9EB6"/>
    <w:multiLevelType w:val="singleLevel"/>
    <w:tmpl w:val="CD9F9EB6"/>
    <w:lvl w:ilvl="0" w:tentative="0">
      <w:start w:val="5"/>
      <w:numFmt w:val="decimal"/>
      <w:suff w:val="nothing"/>
      <w:lvlText w:val="（%1）"/>
      <w:lvlJc w:val="left"/>
    </w:lvl>
  </w:abstractNum>
  <w:abstractNum w:abstractNumId="2">
    <w:nsid w:val="D524B6E3"/>
    <w:multiLevelType w:val="singleLevel"/>
    <w:tmpl w:val="D524B6E3"/>
    <w:lvl w:ilvl="0" w:tentative="0">
      <w:start w:val="2"/>
      <w:numFmt w:val="decimal"/>
      <w:lvlText w:val="%1."/>
      <w:lvlJc w:val="left"/>
      <w:pPr>
        <w:tabs>
          <w:tab w:val="left" w:pos="312"/>
        </w:tabs>
      </w:pPr>
    </w:lvl>
  </w:abstractNum>
  <w:abstractNum w:abstractNumId="3">
    <w:nsid w:val="36E590F6"/>
    <w:multiLevelType w:val="singleLevel"/>
    <w:tmpl w:val="36E590F6"/>
    <w:lvl w:ilvl="0" w:tentative="0">
      <w:start w:val="2"/>
      <w:numFmt w:val="chineseCounting"/>
      <w:suff w:val="space"/>
      <w:lvlText w:val="第%1部分"/>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21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2A0F"/>
    <w:rsid w:val="005A7B7D"/>
    <w:rsid w:val="013B1482"/>
    <w:rsid w:val="01F82729"/>
    <w:rsid w:val="035E1F01"/>
    <w:rsid w:val="03F26B79"/>
    <w:rsid w:val="03F320E1"/>
    <w:rsid w:val="03FF6885"/>
    <w:rsid w:val="04077330"/>
    <w:rsid w:val="041019D0"/>
    <w:rsid w:val="04391D9D"/>
    <w:rsid w:val="0487435C"/>
    <w:rsid w:val="04A853AD"/>
    <w:rsid w:val="051D4F8C"/>
    <w:rsid w:val="0526325F"/>
    <w:rsid w:val="05EB778E"/>
    <w:rsid w:val="06431EA7"/>
    <w:rsid w:val="07027C8D"/>
    <w:rsid w:val="076C3A01"/>
    <w:rsid w:val="07D90D5D"/>
    <w:rsid w:val="0863072A"/>
    <w:rsid w:val="08AE1496"/>
    <w:rsid w:val="08EC3AA9"/>
    <w:rsid w:val="09E24DC5"/>
    <w:rsid w:val="0ACA6AD7"/>
    <w:rsid w:val="0B0462A6"/>
    <w:rsid w:val="0B765744"/>
    <w:rsid w:val="0BE4469B"/>
    <w:rsid w:val="0C10492E"/>
    <w:rsid w:val="0C792EA8"/>
    <w:rsid w:val="0C943C7B"/>
    <w:rsid w:val="0CC11347"/>
    <w:rsid w:val="0CD30872"/>
    <w:rsid w:val="0D1D1CC2"/>
    <w:rsid w:val="0D4678F7"/>
    <w:rsid w:val="0DD36E8E"/>
    <w:rsid w:val="0E6F353B"/>
    <w:rsid w:val="0E9B60AA"/>
    <w:rsid w:val="0EA3136B"/>
    <w:rsid w:val="0ED232B3"/>
    <w:rsid w:val="0EF52DE4"/>
    <w:rsid w:val="0F342926"/>
    <w:rsid w:val="109D64DB"/>
    <w:rsid w:val="10A4411B"/>
    <w:rsid w:val="110D6E74"/>
    <w:rsid w:val="111C024C"/>
    <w:rsid w:val="11312F63"/>
    <w:rsid w:val="11421EAA"/>
    <w:rsid w:val="11442037"/>
    <w:rsid w:val="116F1376"/>
    <w:rsid w:val="117C6326"/>
    <w:rsid w:val="1182099C"/>
    <w:rsid w:val="12382C38"/>
    <w:rsid w:val="12465DD1"/>
    <w:rsid w:val="125D1A8E"/>
    <w:rsid w:val="12EC1BBB"/>
    <w:rsid w:val="12F7682C"/>
    <w:rsid w:val="134A27C6"/>
    <w:rsid w:val="13F148E7"/>
    <w:rsid w:val="14070C5D"/>
    <w:rsid w:val="140A74D4"/>
    <w:rsid w:val="1424511F"/>
    <w:rsid w:val="149E78ED"/>
    <w:rsid w:val="15E71C28"/>
    <w:rsid w:val="160B3BB0"/>
    <w:rsid w:val="164D30C6"/>
    <w:rsid w:val="16D709CD"/>
    <w:rsid w:val="16EA4D43"/>
    <w:rsid w:val="17035AA8"/>
    <w:rsid w:val="17164D48"/>
    <w:rsid w:val="17187B63"/>
    <w:rsid w:val="17960041"/>
    <w:rsid w:val="184D1504"/>
    <w:rsid w:val="18574BD6"/>
    <w:rsid w:val="185C6080"/>
    <w:rsid w:val="185D2204"/>
    <w:rsid w:val="19263BA1"/>
    <w:rsid w:val="19872473"/>
    <w:rsid w:val="19BA6426"/>
    <w:rsid w:val="1A4B2619"/>
    <w:rsid w:val="1A5533AE"/>
    <w:rsid w:val="1AB846CF"/>
    <w:rsid w:val="1AFB2D97"/>
    <w:rsid w:val="1B01588B"/>
    <w:rsid w:val="1B7A57C8"/>
    <w:rsid w:val="1BB8539C"/>
    <w:rsid w:val="1BC81C0A"/>
    <w:rsid w:val="1C25510C"/>
    <w:rsid w:val="1C2E1605"/>
    <w:rsid w:val="1C355627"/>
    <w:rsid w:val="1C534BB8"/>
    <w:rsid w:val="1CAB701F"/>
    <w:rsid w:val="1CB73BD9"/>
    <w:rsid w:val="1D4A4868"/>
    <w:rsid w:val="1D8A1314"/>
    <w:rsid w:val="1DEE7D5E"/>
    <w:rsid w:val="1E507BCE"/>
    <w:rsid w:val="1EAC6A16"/>
    <w:rsid w:val="1F3D6DE1"/>
    <w:rsid w:val="1FC10024"/>
    <w:rsid w:val="201F5BD2"/>
    <w:rsid w:val="20E72893"/>
    <w:rsid w:val="20F264BA"/>
    <w:rsid w:val="20F562BC"/>
    <w:rsid w:val="21150CDE"/>
    <w:rsid w:val="215B5000"/>
    <w:rsid w:val="21BB34F0"/>
    <w:rsid w:val="22CC2106"/>
    <w:rsid w:val="23073DE8"/>
    <w:rsid w:val="232205B2"/>
    <w:rsid w:val="23731340"/>
    <w:rsid w:val="23C34FAD"/>
    <w:rsid w:val="24525667"/>
    <w:rsid w:val="24776DE5"/>
    <w:rsid w:val="24F14B49"/>
    <w:rsid w:val="25893461"/>
    <w:rsid w:val="26510966"/>
    <w:rsid w:val="26AB4D68"/>
    <w:rsid w:val="26FC2F43"/>
    <w:rsid w:val="28026800"/>
    <w:rsid w:val="28543749"/>
    <w:rsid w:val="28567591"/>
    <w:rsid w:val="285B744C"/>
    <w:rsid w:val="28E825AF"/>
    <w:rsid w:val="29A721FC"/>
    <w:rsid w:val="2A287133"/>
    <w:rsid w:val="2A646BA9"/>
    <w:rsid w:val="2AB304C9"/>
    <w:rsid w:val="2AFF5642"/>
    <w:rsid w:val="2B0410FF"/>
    <w:rsid w:val="2B6D1429"/>
    <w:rsid w:val="2B8F28AA"/>
    <w:rsid w:val="2B983FEA"/>
    <w:rsid w:val="2BE71AC5"/>
    <w:rsid w:val="2BF0133F"/>
    <w:rsid w:val="2C472FE6"/>
    <w:rsid w:val="2CB429E4"/>
    <w:rsid w:val="2CFD520B"/>
    <w:rsid w:val="2DEB17F1"/>
    <w:rsid w:val="2E6F6B94"/>
    <w:rsid w:val="2EB26440"/>
    <w:rsid w:val="2EB7473C"/>
    <w:rsid w:val="2F0449D7"/>
    <w:rsid w:val="2F4F4936"/>
    <w:rsid w:val="2F4F7FDC"/>
    <w:rsid w:val="2F813430"/>
    <w:rsid w:val="2F9B07E7"/>
    <w:rsid w:val="2FF01DBD"/>
    <w:rsid w:val="30AE3173"/>
    <w:rsid w:val="30E20AE3"/>
    <w:rsid w:val="30EB7883"/>
    <w:rsid w:val="31491F43"/>
    <w:rsid w:val="31536993"/>
    <w:rsid w:val="319E59EE"/>
    <w:rsid w:val="31C90501"/>
    <w:rsid w:val="320115F0"/>
    <w:rsid w:val="32402BE0"/>
    <w:rsid w:val="32731204"/>
    <w:rsid w:val="32773D8C"/>
    <w:rsid w:val="32851112"/>
    <w:rsid w:val="336643F9"/>
    <w:rsid w:val="33812B48"/>
    <w:rsid w:val="33FE7A6B"/>
    <w:rsid w:val="340843D0"/>
    <w:rsid w:val="34234E94"/>
    <w:rsid w:val="3429696D"/>
    <w:rsid w:val="34501E6A"/>
    <w:rsid w:val="345523BC"/>
    <w:rsid w:val="353149FD"/>
    <w:rsid w:val="35826011"/>
    <w:rsid w:val="363F2B11"/>
    <w:rsid w:val="37534196"/>
    <w:rsid w:val="37C051CD"/>
    <w:rsid w:val="37DB3DC7"/>
    <w:rsid w:val="38166FBE"/>
    <w:rsid w:val="38B47C60"/>
    <w:rsid w:val="397F13E3"/>
    <w:rsid w:val="397F58DB"/>
    <w:rsid w:val="39B75D9F"/>
    <w:rsid w:val="39C80A9F"/>
    <w:rsid w:val="39FD6713"/>
    <w:rsid w:val="3A251929"/>
    <w:rsid w:val="3A274AB0"/>
    <w:rsid w:val="3A4F56AD"/>
    <w:rsid w:val="3A8F0A7D"/>
    <w:rsid w:val="3AA91CF0"/>
    <w:rsid w:val="3AC519EF"/>
    <w:rsid w:val="3AED47DE"/>
    <w:rsid w:val="3AEE5942"/>
    <w:rsid w:val="3B5648D9"/>
    <w:rsid w:val="3B961DEB"/>
    <w:rsid w:val="3BC16680"/>
    <w:rsid w:val="3BE03CC9"/>
    <w:rsid w:val="3C1D1307"/>
    <w:rsid w:val="3C357EC5"/>
    <w:rsid w:val="3C3B1C80"/>
    <w:rsid w:val="3C477797"/>
    <w:rsid w:val="3C840CED"/>
    <w:rsid w:val="3D3D4F90"/>
    <w:rsid w:val="3DA71AFC"/>
    <w:rsid w:val="3DD95B58"/>
    <w:rsid w:val="3DE37FE1"/>
    <w:rsid w:val="3DF24B82"/>
    <w:rsid w:val="3E4F2013"/>
    <w:rsid w:val="3EA550C7"/>
    <w:rsid w:val="3EF745ED"/>
    <w:rsid w:val="3F1C7E05"/>
    <w:rsid w:val="3F657E5F"/>
    <w:rsid w:val="3FF84E59"/>
    <w:rsid w:val="401246F8"/>
    <w:rsid w:val="404B55E4"/>
    <w:rsid w:val="40F769EB"/>
    <w:rsid w:val="41490D2C"/>
    <w:rsid w:val="417A0D1B"/>
    <w:rsid w:val="41886B42"/>
    <w:rsid w:val="41A65407"/>
    <w:rsid w:val="41BF30A4"/>
    <w:rsid w:val="41D46661"/>
    <w:rsid w:val="41D5521B"/>
    <w:rsid w:val="42400209"/>
    <w:rsid w:val="42464AA6"/>
    <w:rsid w:val="42905D7F"/>
    <w:rsid w:val="431948B8"/>
    <w:rsid w:val="44343DAB"/>
    <w:rsid w:val="44AB7D4D"/>
    <w:rsid w:val="44CE2C89"/>
    <w:rsid w:val="44D03A23"/>
    <w:rsid w:val="44DC1633"/>
    <w:rsid w:val="45E76CCF"/>
    <w:rsid w:val="45EC7DFF"/>
    <w:rsid w:val="467B22B0"/>
    <w:rsid w:val="4686527F"/>
    <w:rsid w:val="468E429C"/>
    <w:rsid w:val="468E5218"/>
    <w:rsid w:val="46BB3B98"/>
    <w:rsid w:val="47581874"/>
    <w:rsid w:val="479C0E33"/>
    <w:rsid w:val="47BB5226"/>
    <w:rsid w:val="47C46625"/>
    <w:rsid w:val="47C75A6E"/>
    <w:rsid w:val="487A6A1F"/>
    <w:rsid w:val="48B3053C"/>
    <w:rsid w:val="48E66D39"/>
    <w:rsid w:val="493C1E17"/>
    <w:rsid w:val="49711B2F"/>
    <w:rsid w:val="49F625DF"/>
    <w:rsid w:val="4A8B115D"/>
    <w:rsid w:val="4ABD7AF8"/>
    <w:rsid w:val="4AF956F9"/>
    <w:rsid w:val="4B463238"/>
    <w:rsid w:val="4BA11EF2"/>
    <w:rsid w:val="4BA758F8"/>
    <w:rsid w:val="4C737385"/>
    <w:rsid w:val="4C812D65"/>
    <w:rsid w:val="4C894B4E"/>
    <w:rsid w:val="4CCD4816"/>
    <w:rsid w:val="4CE12728"/>
    <w:rsid w:val="4D333CE3"/>
    <w:rsid w:val="4D3D4769"/>
    <w:rsid w:val="4D6D367F"/>
    <w:rsid w:val="4D9E5EDB"/>
    <w:rsid w:val="4DB33CE7"/>
    <w:rsid w:val="4DC1731C"/>
    <w:rsid w:val="4E102FD8"/>
    <w:rsid w:val="4E6A3760"/>
    <w:rsid w:val="4E7002A7"/>
    <w:rsid w:val="4EDF4346"/>
    <w:rsid w:val="4EF7156E"/>
    <w:rsid w:val="4F0278D7"/>
    <w:rsid w:val="4F7E3822"/>
    <w:rsid w:val="50001DC6"/>
    <w:rsid w:val="50A84396"/>
    <w:rsid w:val="50AF51FF"/>
    <w:rsid w:val="516E4EBE"/>
    <w:rsid w:val="517D5309"/>
    <w:rsid w:val="519663A6"/>
    <w:rsid w:val="51E151A5"/>
    <w:rsid w:val="51E616F1"/>
    <w:rsid w:val="51FF6EE3"/>
    <w:rsid w:val="5222749B"/>
    <w:rsid w:val="528B5604"/>
    <w:rsid w:val="529146BC"/>
    <w:rsid w:val="530A27CC"/>
    <w:rsid w:val="5317379B"/>
    <w:rsid w:val="536B68B4"/>
    <w:rsid w:val="54CE3649"/>
    <w:rsid w:val="54CF68A8"/>
    <w:rsid w:val="557C6550"/>
    <w:rsid w:val="55802071"/>
    <w:rsid w:val="56060482"/>
    <w:rsid w:val="5836234E"/>
    <w:rsid w:val="58A962C4"/>
    <w:rsid w:val="58CA58AB"/>
    <w:rsid w:val="58DC519B"/>
    <w:rsid w:val="58ED4ACE"/>
    <w:rsid w:val="59204561"/>
    <w:rsid w:val="598D7AD8"/>
    <w:rsid w:val="5ADE004A"/>
    <w:rsid w:val="5B2155DE"/>
    <w:rsid w:val="5B2C1298"/>
    <w:rsid w:val="5B9337EA"/>
    <w:rsid w:val="5BA610EE"/>
    <w:rsid w:val="5C3B2DFB"/>
    <w:rsid w:val="5C5C7D03"/>
    <w:rsid w:val="5C710A3D"/>
    <w:rsid w:val="5CB7271E"/>
    <w:rsid w:val="5CF45569"/>
    <w:rsid w:val="5D045C48"/>
    <w:rsid w:val="5D23702D"/>
    <w:rsid w:val="5D623D33"/>
    <w:rsid w:val="5D625335"/>
    <w:rsid w:val="5DAB6875"/>
    <w:rsid w:val="5DEE6C40"/>
    <w:rsid w:val="5E1221D9"/>
    <w:rsid w:val="5E6917E6"/>
    <w:rsid w:val="5E73536D"/>
    <w:rsid w:val="5EBC1DA1"/>
    <w:rsid w:val="5EC84C5C"/>
    <w:rsid w:val="5F036207"/>
    <w:rsid w:val="5F0A3E99"/>
    <w:rsid w:val="5F395318"/>
    <w:rsid w:val="5F566E14"/>
    <w:rsid w:val="5FD44556"/>
    <w:rsid w:val="6053492E"/>
    <w:rsid w:val="60577EBB"/>
    <w:rsid w:val="61031589"/>
    <w:rsid w:val="61A660F3"/>
    <w:rsid w:val="61CC635E"/>
    <w:rsid w:val="61F32199"/>
    <w:rsid w:val="620D1877"/>
    <w:rsid w:val="621A5D72"/>
    <w:rsid w:val="62251A50"/>
    <w:rsid w:val="629F7651"/>
    <w:rsid w:val="6361195D"/>
    <w:rsid w:val="63F422FC"/>
    <w:rsid w:val="646667E0"/>
    <w:rsid w:val="64886EC8"/>
    <w:rsid w:val="64950288"/>
    <w:rsid w:val="64BD7629"/>
    <w:rsid w:val="651D1169"/>
    <w:rsid w:val="651E684C"/>
    <w:rsid w:val="65667228"/>
    <w:rsid w:val="658D5FDF"/>
    <w:rsid w:val="65C24798"/>
    <w:rsid w:val="65F45964"/>
    <w:rsid w:val="663355C0"/>
    <w:rsid w:val="665B6227"/>
    <w:rsid w:val="666B5C98"/>
    <w:rsid w:val="66BF45F5"/>
    <w:rsid w:val="66ED681D"/>
    <w:rsid w:val="67083703"/>
    <w:rsid w:val="670870B2"/>
    <w:rsid w:val="672C2D3E"/>
    <w:rsid w:val="682E57D3"/>
    <w:rsid w:val="68606F5B"/>
    <w:rsid w:val="688B52D5"/>
    <w:rsid w:val="68BD4ED0"/>
    <w:rsid w:val="692525BF"/>
    <w:rsid w:val="69882A8B"/>
    <w:rsid w:val="69A906F7"/>
    <w:rsid w:val="69E80704"/>
    <w:rsid w:val="69ED7B2F"/>
    <w:rsid w:val="6B110AC2"/>
    <w:rsid w:val="6B191B66"/>
    <w:rsid w:val="6B6F3C61"/>
    <w:rsid w:val="6B7E6E57"/>
    <w:rsid w:val="6BA03651"/>
    <w:rsid w:val="6BCD20CC"/>
    <w:rsid w:val="6BCD40C5"/>
    <w:rsid w:val="6BD85234"/>
    <w:rsid w:val="6C553F78"/>
    <w:rsid w:val="6C842BA2"/>
    <w:rsid w:val="6C8522AE"/>
    <w:rsid w:val="6CBF2A20"/>
    <w:rsid w:val="6CDD21EE"/>
    <w:rsid w:val="6D015EC6"/>
    <w:rsid w:val="6D0D2DA6"/>
    <w:rsid w:val="6D7E53F1"/>
    <w:rsid w:val="6DC222E4"/>
    <w:rsid w:val="6DD57BB0"/>
    <w:rsid w:val="6E3075E0"/>
    <w:rsid w:val="6E4A6149"/>
    <w:rsid w:val="6E876B9D"/>
    <w:rsid w:val="6F2E3E36"/>
    <w:rsid w:val="6F486EEF"/>
    <w:rsid w:val="6F4A6FC6"/>
    <w:rsid w:val="6F713CD1"/>
    <w:rsid w:val="6F843573"/>
    <w:rsid w:val="6FB03172"/>
    <w:rsid w:val="6FDD0F33"/>
    <w:rsid w:val="70E316C8"/>
    <w:rsid w:val="71242450"/>
    <w:rsid w:val="715C78A1"/>
    <w:rsid w:val="71CD2E84"/>
    <w:rsid w:val="71CE163E"/>
    <w:rsid w:val="72341A26"/>
    <w:rsid w:val="724C2405"/>
    <w:rsid w:val="72682421"/>
    <w:rsid w:val="728B3BB5"/>
    <w:rsid w:val="72AC6747"/>
    <w:rsid w:val="72C32FE5"/>
    <w:rsid w:val="72E67902"/>
    <w:rsid w:val="73073CAC"/>
    <w:rsid w:val="73FC2BD0"/>
    <w:rsid w:val="74613744"/>
    <w:rsid w:val="74C82A41"/>
    <w:rsid w:val="754A0433"/>
    <w:rsid w:val="756D71A9"/>
    <w:rsid w:val="75A55C26"/>
    <w:rsid w:val="75F241D6"/>
    <w:rsid w:val="765956F2"/>
    <w:rsid w:val="770D7634"/>
    <w:rsid w:val="770E6F56"/>
    <w:rsid w:val="7730383C"/>
    <w:rsid w:val="773E5967"/>
    <w:rsid w:val="79863F5C"/>
    <w:rsid w:val="79E957ED"/>
    <w:rsid w:val="7A1F4BFE"/>
    <w:rsid w:val="7B4500D1"/>
    <w:rsid w:val="7BC74313"/>
    <w:rsid w:val="7C2E4439"/>
    <w:rsid w:val="7C9A2A56"/>
    <w:rsid w:val="7CBD248F"/>
    <w:rsid w:val="7E1951E3"/>
    <w:rsid w:val="7E6060A1"/>
    <w:rsid w:val="7E800294"/>
    <w:rsid w:val="7EC60960"/>
    <w:rsid w:val="7ED33AAD"/>
    <w:rsid w:val="7EEA0853"/>
    <w:rsid w:val="7F215163"/>
    <w:rsid w:val="7F876F5F"/>
    <w:rsid w:val="7FE367C0"/>
    <w:rsid w:val="7FE81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5">
    <w:name w:val="font21"/>
    <w:qFormat/>
    <w:uiPriority w:val="0"/>
    <w:rPr>
      <w:rFonts w:hint="eastAsia" w:ascii="宋体" w:hAnsi="宋体" w:eastAsia="宋体" w:cs="宋体"/>
      <w:color w:val="000000"/>
      <w:sz w:val="24"/>
      <w:szCs w:val="24"/>
      <w:u w:val="none"/>
    </w:rPr>
  </w:style>
  <w:style w:type="character" w:customStyle="1" w:styleId="6">
    <w:name w:val="font0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2021-08-22T05:32:00Z</dcterms:created>
  <dc:creator>蚌埠市财政局</dc:creator>
  <cp:lastModifiedBy>Administrator</cp:lastModifiedBy>
  <dcterms:modified xsi:type="dcterms:W3CDTF">2022-09-01T00:39:16Z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